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C73E" w14:textId="62229E45" w:rsidR="00361837" w:rsidRPr="00271F9D" w:rsidRDefault="00876ABB" w:rsidP="00344FB7">
      <w:pPr>
        <w:spacing w:after="0" w:line="240" w:lineRule="auto"/>
        <w:jc w:val="center"/>
        <w:rPr>
          <w:rFonts w:ascii="Arial" w:hAnsi="Arial" w:cs="Arial"/>
          <w:b/>
          <w:caps/>
          <w:sz w:val="20"/>
          <w:szCs w:val="20"/>
        </w:rPr>
      </w:pPr>
      <w:r w:rsidRPr="00271F9D">
        <w:rPr>
          <w:rFonts w:ascii="Arial" w:hAnsi="Arial" w:cs="Arial"/>
          <w:b/>
          <w:caps/>
          <w:sz w:val="20"/>
          <w:szCs w:val="20"/>
        </w:rPr>
        <w:t>AKCINĖS BENDROVĖS LIETUVOS PAŠTO</w:t>
      </w:r>
    </w:p>
    <w:p w14:paraId="651EBACB" w14:textId="5ADDBFA1" w:rsidR="00876ABB" w:rsidRPr="00271F9D" w:rsidRDefault="00876ABB" w:rsidP="00344FB7">
      <w:pPr>
        <w:spacing w:after="0" w:line="240" w:lineRule="auto"/>
        <w:jc w:val="center"/>
        <w:rPr>
          <w:rFonts w:ascii="Arial" w:hAnsi="Arial" w:cs="Arial"/>
          <w:b/>
          <w:caps/>
          <w:sz w:val="20"/>
          <w:szCs w:val="20"/>
        </w:rPr>
      </w:pPr>
      <w:r w:rsidRPr="00271F9D">
        <w:rPr>
          <w:rFonts w:ascii="Arial" w:hAnsi="Arial" w:cs="Arial"/>
          <w:b/>
          <w:caps/>
          <w:sz w:val="20"/>
          <w:szCs w:val="20"/>
        </w:rPr>
        <w:t>RIZIKOS VALDYMO POLITIKA</w:t>
      </w:r>
    </w:p>
    <w:p w14:paraId="080D6D11" w14:textId="002F78D3" w:rsidR="00491963" w:rsidRPr="00271F9D" w:rsidRDefault="00491963" w:rsidP="00344FB7">
      <w:pPr>
        <w:spacing w:after="0" w:line="240" w:lineRule="auto"/>
        <w:jc w:val="center"/>
        <w:rPr>
          <w:rFonts w:ascii="Arial" w:hAnsi="Arial" w:cs="Arial"/>
          <w:b/>
          <w:caps/>
          <w:sz w:val="20"/>
          <w:szCs w:val="20"/>
        </w:rPr>
      </w:pPr>
    </w:p>
    <w:p w14:paraId="383AF7C4" w14:textId="77777777" w:rsidR="00491963" w:rsidRPr="00271F9D" w:rsidRDefault="00491963" w:rsidP="00344FB7">
      <w:pPr>
        <w:spacing w:after="0" w:line="240" w:lineRule="auto"/>
        <w:jc w:val="center"/>
        <w:rPr>
          <w:rFonts w:ascii="Arial" w:hAnsi="Arial" w:cs="Arial"/>
          <w:b/>
          <w:caps/>
          <w:sz w:val="20"/>
          <w:szCs w:val="20"/>
        </w:rPr>
      </w:pPr>
    </w:p>
    <w:p w14:paraId="48831127" w14:textId="77777777" w:rsidR="00CB5232" w:rsidRPr="00271F9D" w:rsidRDefault="00545DFE" w:rsidP="00356A27">
      <w:pPr>
        <w:pStyle w:val="ListParagraph"/>
        <w:numPr>
          <w:ilvl w:val="0"/>
          <w:numId w:val="1"/>
        </w:numPr>
        <w:tabs>
          <w:tab w:val="left" w:pos="426"/>
        </w:tabs>
        <w:spacing w:before="240" w:after="240" w:line="240" w:lineRule="auto"/>
        <w:ind w:left="0" w:firstLine="0"/>
        <w:contextualSpacing w:val="0"/>
        <w:jc w:val="both"/>
        <w:rPr>
          <w:rFonts w:ascii="Arial" w:hAnsi="Arial" w:cs="Arial"/>
          <w:b/>
          <w:caps/>
          <w:sz w:val="20"/>
          <w:szCs w:val="20"/>
        </w:rPr>
      </w:pPr>
      <w:bookmarkStart w:id="0" w:name="_Toc58232008"/>
      <w:r w:rsidRPr="00271F9D">
        <w:rPr>
          <w:rFonts w:ascii="Arial" w:hAnsi="Arial" w:cs="Arial"/>
          <w:b/>
          <w:caps/>
          <w:sz w:val="20"/>
          <w:szCs w:val="20"/>
        </w:rPr>
        <w:t>Sąvokos</w:t>
      </w:r>
    </w:p>
    <w:p w14:paraId="6735EAFE" w14:textId="77777777" w:rsidR="00AB2838" w:rsidRPr="00271F9D" w:rsidRDefault="00AB2838" w:rsidP="00356A27">
      <w:pPr>
        <w:pStyle w:val="ListParagraph"/>
        <w:numPr>
          <w:ilvl w:val="1"/>
          <w:numId w:val="1"/>
        </w:numPr>
        <w:tabs>
          <w:tab w:val="left" w:pos="567"/>
          <w:tab w:val="left" w:pos="1134"/>
        </w:tabs>
        <w:spacing w:after="0" w:line="240" w:lineRule="auto"/>
        <w:ind w:left="0" w:firstLine="0"/>
        <w:jc w:val="both"/>
        <w:rPr>
          <w:rFonts w:ascii="Arial" w:hAnsi="Arial" w:cs="Arial"/>
          <w:sz w:val="20"/>
          <w:szCs w:val="20"/>
        </w:rPr>
      </w:pPr>
      <w:r w:rsidRPr="00271F9D">
        <w:rPr>
          <w:rFonts w:ascii="Arial" w:hAnsi="Arial" w:cs="Arial"/>
          <w:sz w:val="20"/>
          <w:szCs w:val="20"/>
        </w:rPr>
        <w:t>Ši</w:t>
      </w:r>
      <w:r w:rsidR="00876ABB" w:rsidRPr="00271F9D">
        <w:rPr>
          <w:rFonts w:ascii="Arial" w:hAnsi="Arial" w:cs="Arial"/>
          <w:sz w:val="20"/>
          <w:szCs w:val="20"/>
        </w:rPr>
        <w:t>oje</w:t>
      </w:r>
      <w:r w:rsidRPr="00271F9D">
        <w:rPr>
          <w:rFonts w:ascii="Arial" w:hAnsi="Arial" w:cs="Arial"/>
          <w:sz w:val="20"/>
          <w:szCs w:val="20"/>
        </w:rPr>
        <w:t xml:space="preserve"> akcinės </w:t>
      </w:r>
      <w:r w:rsidRPr="00271F9D">
        <w:rPr>
          <w:rFonts w:ascii="Arial" w:hAnsi="Arial" w:cs="Arial"/>
          <w:color w:val="000000" w:themeColor="text1"/>
          <w:sz w:val="20"/>
          <w:szCs w:val="20"/>
        </w:rPr>
        <w:t>bendrovės</w:t>
      </w:r>
      <w:r w:rsidRPr="00271F9D">
        <w:rPr>
          <w:rFonts w:ascii="Arial" w:hAnsi="Arial" w:cs="Arial"/>
          <w:sz w:val="20"/>
          <w:szCs w:val="20"/>
        </w:rPr>
        <w:t xml:space="preserve"> Lietuvos pašto </w:t>
      </w:r>
      <w:r w:rsidR="00876ABB" w:rsidRPr="00271F9D">
        <w:rPr>
          <w:rFonts w:ascii="Arial" w:hAnsi="Arial" w:cs="Arial"/>
          <w:sz w:val="20"/>
          <w:szCs w:val="20"/>
        </w:rPr>
        <w:t>Rizikos valdymo politikoje (toliau – Politika)</w:t>
      </w:r>
      <w:r w:rsidRPr="00271F9D">
        <w:rPr>
          <w:rFonts w:ascii="Arial" w:hAnsi="Arial" w:cs="Arial"/>
          <w:sz w:val="20"/>
          <w:szCs w:val="20"/>
        </w:rPr>
        <w:t xml:space="preserve"> vartotinos sąvokos turi būti suprantamos ir aiškinamos kaip nurodyta toliau:</w:t>
      </w:r>
    </w:p>
    <w:p w14:paraId="1A850CB5" w14:textId="77777777" w:rsidR="00DD6ED9" w:rsidRPr="00271F9D" w:rsidRDefault="00DD6ED9" w:rsidP="00356A27">
      <w:pPr>
        <w:pStyle w:val="ListParagraph"/>
        <w:spacing w:after="0" w:line="240" w:lineRule="auto"/>
        <w:ind w:left="360"/>
        <w:jc w:val="both"/>
        <w:rPr>
          <w:rFonts w:ascii="Arial" w:hAnsi="Arial" w:cs="Arial"/>
          <w:sz w:val="20"/>
          <w:szCs w:val="20"/>
        </w:rPr>
      </w:pPr>
    </w:p>
    <w:tbl>
      <w:tblPr>
        <w:tblStyle w:val="TableGrid"/>
        <w:tblW w:w="9639" w:type="dxa"/>
        <w:tblInd w:w="-5" w:type="dxa"/>
        <w:tblLook w:val="04A0" w:firstRow="1" w:lastRow="0" w:firstColumn="1" w:lastColumn="0" w:noHBand="0" w:noVBand="1"/>
      </w:tblPr>
      <w:tblGrid>
        <w:gridCol w:w="2351"/>
        <w:gridCol w:w="7288"/>
      </w:tblGrid>
      <w:tr w:rsidR="00565B60" w:rsidRPr="00271F9D" w14:paraId="09F69FDE" w14:textId="77777777" w:rsidTr="000070E5">
        <w:tc>
          <w:tcPr>
            <w:tcW w:w="2351" w:type="dxa"/>
          </w:tcPr>
          <w:p w14:paraId="655BA4F9" w14:textId="285DF521" w:rsidR="00565B60" w:rsidRPr="00271F9D" w:rsidRDefault="000A3DC0" w:rsidP="00FC3C71">
            <w:pPr>
              <w:pStyle w:val="ListParagraph"/>
              <w:tabs>
                <w:tab w:val="left" w:pos="1134"/>
              </w:tabs>
              <w:ind w:left="0"/>
              <w:jc w:val="both"/>
              <w:rPr>
                <w:rFonts w:ascii="Arial" w:hAnsi="Arial" w:cs="Arial"/>
                <w:b/>
                <w:sz w:val="20"/>
                <w:szCs w:val="20"/>
              </w:rPr>
            </w:pPr>
            <w:r w:rsidRPr="00271F9D">
              <w:rPr>
                <w:rFonts w:ascii="Arial" w:hAnsi="Arial" w:cs="Arial"/>
                <w:b/>
                <w:color w:val="000000"/>
                <w:sz w:val="20"/>
                <w:szCs w:val="20"/>
              </w:rPr>
              <w:t>Bendrovė</w:t>
            </w:r>
          </w:p>
        </w:tc>
        <w:tc>
          <w:tcPr>
            <w:tcW w:w="7288" w:type="dxa"/>
          </w:tcPr>
          <w:p w14:paraId="07D4CE2F" w14:textId="7AC3A500" w:rsidR="00565B60" w:rsidRPr="00271F9D" w:rsidRDefault="002943DF" w:rsidP="00FC3C71">
            <w:pPr>
              <w:pStyle w:val="ListParagraph"/>
              <w:tabs>
                <w:tab w:val="left" w:pos="1134"/>
              </w:tabs>
              <w:ind w:left="0"/>
              <w:jc w:val="both"/>
              <w:rPr>
                <w:rFonts w:ascii="Arial" w:hAnsi="Arial" w:cs="Arial"/>
                <w:sz w:val="20"/>
                <w:szCs w:val="20"/>
              </w:rPr>
            </w:pPr>
            <w:r w:rsidRPr="00271F9D">
              <w:rPr>
                <w:rFonts w:ascii="Arial" w:hAnsi="Arial" w:cs="Arial"/>
                <w:color w:val="000000"/>
                <w:sz w:val="20"/>
                <w:szCs w:val="20"/>
              </w:rPr>
              <w:t>Akcinė bendrovė Lietuvos paštas, kodas 121215587, registruotos buveinės adresas</w:t>
            </w:r>
            <w:r w:rsidR="00D272C1" w:rsidRPr="00271F9D">
              <w:rPr>
                <w:rFonts w:ascii="Arial" w:hAnsi="Arial" w:cs="Arial"/>
                <w:color w:val="000000"/>
                <w:sz w:val="20"/>
                <w:szCs w:val="20"/>
              </w:rPr>
              <w:t xml:space="preserve"> </w:t>
            </w:r>
            <w:r w:rsidRPr="00271F9D">
              <w:rPr>
                <w:rFonts w:ascii="Arial" w:hAnsi="Arial" w:cs="Arial"/>
                <w:color w:val="000000"/>
                <w:sz w:val="20"/>
                <w:szCs w:val="20"/>
              </w:rPr>
              <w:t>J. Jasinskio g. 16, Vilnius;</w:t>
            </w:r>
          </w:p>
        </w:tc>
      </w:tr>
      <w:tr w:rsidR="001E47C2" w:rsidRPr="00271F9D" w14:paraId="2D38E2C5" w14:textId="77777777" w:rsidTr="000070E5">
        <w:tc>
          <w:tcPr>
            <w:tcW w:w="2351" w:type="dxa"/>
          </w:tcPr>
          <w:p w14:paraId="59D7BF1F" w14:textId="77777777" w:rsidR="001E47C2" w:rsidRPr="00271F9D" w:rsidRDefault="001E47C2" w:rsidP="00D91C66">
            <w:pPr>
              <w:pStyle w:val="ListParagraph"/>
              <w:tabs>
                <w:tab w:val="left" w:pos="1134"/>
              </w:tabs>
              <w:ind w:left="0"/>
              <w:jc w:val="both"/>
              <w:rPr>
                <w:rFonts w:ascii="Arial" w:hAnsi="Arial" w:cs="Arial"/>
                <w:b/>
                <w:sz w:val="20"/>
                <w:szCs w:val="20"/>
              </w:rPr>
            </w:pPr>
            <w:r w:rsidRPr="00271F9D">
              <w:rPr>
                <w:rFonts w:ascii="Arial" w:hAnsi="Arial" w:cs="Arial"/>
                <w:b/>
                <w:sz w:val="20"/>
                <w:szCs w:val="20"/>
              </w:rPr>
              <w:t>Rizika</w:t>
            </w:r>
          </w:p>
          <w:p w14:paraId="696CAAB2" w14:textId="3CAB7D0A" w:rsidR="00745145" w:rsidRPr="00271F9D" w:rsidRDefault="00745145" w:rsidP="00D91C66">
            <w:pPr>
              <w:pStyle w:val="ListParagraph"/>
              <w:tabs>
                <w:tab w:val="left" w:pos="1134"/>
              </w:tabs>
              <w:ind w:left="0"/>
              <w:jc w:val="both"/>
              <w:rPr>
                <w:rFonts w:ascii="Arial" w:hAnsi="Arial" w:cs="Arial"/>
                <w:b/>
                <w:i/>
                <w:iCs/>
                <w:sz w:val="16"/>
                <w:szCs w:val="16"/>
              </w:rPr>
            </w:pPr>
            <w:r w:rsidRPr="00271F9D">
              <w:rPr>
                <w:rFonts w:ascii="Arial" w:hAnsi="Arial" w:cs="Arial"/>
                <w:b/>
                <w:i/>
                <w:iCs/>
                <w:sz w:val="16"/>
                <w:szCs w:val="16"/>
              </w:rPr>
              <w:t xml:space="preserve">Risk </w:t>
            </w:r>
          </w:p>
        </w:tc>
        <w:tc>
          <w:tcPr>
            <w:tcW w:w="7288" w:type="dxa"/>
          </w:tcPr>
          <w:p w14:paraId="08DD4F53" w14:textId="1CEE6B6F" w:rsidR="001E47C2" w:rsidRPr="00271F9D" w:rsidRDefault="001E47C2" w:rsidP="00D91C66">
            <w:pPr>
              <w:pStyle w:val="ListParagraph"/>
              <w:tabs>
                <w:tab w:val="left" w:pos="1134"/>
              </w:tabs>
              <w:ind w:left="0"/>
              <w:jc w:val="both"/>
              <w:rPr>
                <w:rFonts w:ascii="Arial" w:hAnsi="Arial" w:cs="Arial"/>
                <w:sz w:val="20"/>
              </w:rPr>
            </w:pPr>
            <w:r w:rsidRPr="00271F9D">
              <w:rPr>
                <w:rFonts w:ascii="Arial" w:eastAsia="Times New Roman" w:hAnsi="Arial" w:cs="Arial"/>
                <w:sz w:val="20"/>
                <w:szCs w:val="20"/>
                <w:lang w:eastAsia="lt-LT"/>
              </w:rPr>
              <w:t>Neapibrėžtumo poveikis tikslams. Poveikis yra nukrypimas nuo to, ko buvo tikimasi</w:t>
            </w:r>
            <w:r w:rsidR="00CF070F" w:rsidRPr="00271F9D">
              <w:rPr>
                <w:rFonts w:ascii="Arial" w:eastAsia="Times New Roman" w:hAnsi="Arial" w:cs="Arial"/>
                <w:sz w:val="20"/>
                <w:szCs w:val="20"/>
                <w:lang w:eastAsia="lt-LT"/>
              </w:rPr>
              <w:t>, j</w:t>
            </w:r>
            <w:r w:rsidRPr="00271F9D">
              <w:rPr>
                <w:rFonts w:ascii="Arial" w:eastAsia="Times New Roman" w:hAnsi="Arial" w:cs="Arial"/>
                <w:sz w:val="20"/>
                <w:szCs w:val="20"/>
                <w:lang w:eastAsia="lt-LT"/>
              </w:rPr>
              <w:t>is gali būti teigiamas ir (arba) neigiamas, gali būti nukreiptas į galimybes ir grėsmes, jas sukurti arba nulemti. Tikslai gali būti įvairaus pobūdžio bei kategorijų (finansiniai tikslai, sauga ir sveikata, poveikis aplinkai ir kt.) ir jie gali būti įgyvendinami skirtingais lygmenimis (strateginiai tikslai, pagrindinė veikla, procesai);</w:t>
            </w:r>
          </w:p>
        </w:tc>
      </w:tr>
      <w:tr w:rsidR="001E47C2" w:rsidRPr="00271F9D" w14:paraId="5F0D31F9" w14:textId="77777777" w:rsidTr="000070E5">
        <w:tc>
          <w:tcPr>
            <w:tcW w:w="2351" w:type="dxa"/>
          </w:tcPr>
          <w:p w14:paraId="110952AD" w14:textId="77777777" w:rsidR="001E47C2" w:rsidRPr="00271F9D" w:rsidRDefault="001E47C2" w:rsidP="00D91C66">
            <w:pPr>
              <w:pStyle w:val="ListParagraph"/>
              <w:tabs>
                <w:tab w:val="left" w:pos="1134"/>
              </w:tabs>
              <w:ind w:left="0"/>
              <w:jc w:val="both"/>
              <w:rPr>
                <w:rFonts w:ascii="Arial" w:eastAsia="Times New Roman" w:hAnsi="Arial" w:cs="Arial"/>
                <w:b/>
                <w:sz w:val="20"/>
                <w:szCs w:val="20"/>
                <w:lang w:eastAsia="lt-LT"/>
              </w:rPr>
            </w:pPr>
            <w:r w:rsidRPr="00271F9D">
              <w:rPr>
                <w:rFonts w:ascii="Arial" w:eastAsia="Times New Roman" w:hAnsi="Arial" w:cs="Arial"/>
                <w:b/>
                <w:sz w:val="20"/>
                <w:szCs w:val="20"/>
                <w:lang w:eastAsia="lt-LT"/>
              </w:rPr>
              <w:t>Rizikos apetitas</w:t>
            </w:r>
          </w:p>
          <w:p w14:paraId="0133913C" w14:textId="5E5DFC9C" w:rsidR="00745145" w:rsidRPr="00271F9D" w:rsidRDefault="00745145" w:rsidP="00D91C66">
            <w:pPr>
              <w:pStyle w:val="ListParagraph"/>
              <w:tabs>
                <w:tab w:val="left" w:pos="1134"/>
              </w:tabs>
              <w:ind w:left="0"/>
              <w:jc w:val="both"/>
              <w:rPr>
                <w:rFonts w:ascii="Arial" w:hAnsi="Arial" w:cs="Arial"/>
                <w:b/>
                <w:i/>
                <w:iCs/>
                <w:sz w:val="16"/>
                <w:szCs w:val="16"/>
              </w:rPr>
            </w:pPr>
            <w:r w:rsidRPr="00271F9D">
              <w:rPr>
                <w:rFonts w:ascii="Arial" w:eastAsia="Times New Roman" w:hAnsi="Arial" w:cs="Arial"/>
                <w:b/>
                <w:i/>
                <w:iCs/>
                <w:sz w:val="16"/>
                <w:szCs w:val="16"/>
                <w:lang w:eastAsia="lt-LT"/>
              </w:rPr>
              <w:t xml:space="preserve">Risk </w:t>
            </w:r>
            <w:proofErr w:type="spellStart"/>
            <w:r w:rsidRPr="00271F9D">
              <w:rPr>
                <w:rFonts w:ascii="Arial" w:eastAsia="Times New Roman" w:hAnsi="Arial" w:cs="Arial"/>
                <w:b/>
                <w:i/>
                <w:iCs/>
                <w:sz w:val="16"/>
                <w:szCs w:val="16"/>
                <w:lang w:eastAsia="lt-LT"/>
              </w:rPr>
              <w:t>ap</w:t>
            </w:r>
            <w:r w:rsidR="00F12D66" w:rsidRPr="00271F9D">
              <w:rPr>
                <w:rFonts w:ascii="Arial" w:eastAsia="Times New Roman" w:hAnsi="Arial" w:cs="Arial"/>
                <w:b/>
                <w:i/>
                <w:iCs/>
                <w:sz w:val="16"/>
                <w:szCs w:val="16"/>
                <w:lang w:eastAsia="lt-LT"/>
              </w:rPr>
              <w:t>p</w:t>
            </w:r>
            <w:r w:rsidRPr="00271F9D">
              <w:rPr>
                <w:rFonts w:ascii="Arial" w:eastAsia="Times New Roman" w:hAnsi="Arial" w:cs="Arial"/>
                <w:b/>
                <w:i/>
                <w:iCs/>
                <w:sz w:val="16"/>
                <w:szCs w:val="16"/>
                <w:lang w:eastAsia="lt-LT"/>
              </w:rPr>
              <w:t>etite</w:t>
            </w:r>
            <w:proofErr w:type="spellEnd"/>
          </w:p>
        </w:tc>
        <w:tc>
          <w:tcPr>
            <w:tcW w:w="7288" w:type="dxa"/>
          </w:tcPr>
          <w:p w14:paraId="32576D69" w14:textId="5A409617" w:rsidR="001E47C2" w:rsidRPr="00271F9D" w:rsidRDefault="008D4A51" w:rsidP="00D91C66">
            <w:pPr>
              <w:pStyle w:val="ListParagraph"/>
              <w:tabs>
                <w:tab w:val="left" w:pos="1134"/>
              </w:tabs>
              <w:ind w:left="0"/>
              <w:jc w:val="both"/>
              <w:rPr>
                <w:rFonts w:ascii="Arial" w:hAnsi="Arial" w:cs="Arial"/>
                <w:sz w:val="20"/>
              </w:rPr>
            </w:pPr>
            <w:r w:rsidRPr="00271F9D">
              <w:rPr>
                <w:rFonts w:ascii="Arial" w:eastAsia="Times New Roman" w:hAnsi="Arial" w:cs="Arial"/>
                <w:sz w:val="20"/>
                <w:szCs w:val="20"/>
                <w:lang w:eastAsia="lt-LT"/>
              </w:rPr>
              <w:t>Rizikos dydis ir tipas, kurį Bendrovės akcininkas, išreikšdamas savo valią per valdybos sprendimą, nori siekti arba kuriuos jis nori išlaikyti;</w:t>
            </w:r>
          </w:p>
        </w:tc>
      </w:tr>
      <w:tr w:rsidR="00D50619" w:rsidRPr="00271F9D" w14:paraId="625A8B53" w14:textId="77777777" w:rsidTr="000070E5">
        <w:tc>
          <w:tcPr>
            <w:tcW w:w="2351" w:type="dxa"/>
          </w:tcPr>
          <w:p w14:paraId="3D70BCE8" w14:textId="77777777" w:rsidR="00D50619" w:rsidRPr="00271F9D" w:rsidRDefault="00D50619" w:rsidP="00D91C66">
            <w:pPr>
              <w:pStyle w:val="ListParagraph"/>
              <w:tabs>
                <w:tab w:val="left" w:pos="1134"/>
              </w:tabs>
              <w:ind w:left="0"/>
              <w:jc w:val="both"/>
              <w:rPr>
                <w:rFonts w:ascii="Arial" w:eastAsia="Times New Roman" w:hAnsi="Arial" w:cs="Arial"/>
                <w:b/>
                <w:sz w:val="20"/>
                <w:szCs w:val="20"/>
                <w:lang w:eastAsia="lt-LT"/>
              </w:rPr>
            </w:pPr>
            <w:r w:rsidRPr="00271F9D">
              <w:rPr>
                <w:rFonts w:ascii="Arial" w:eastAsia="Times New Roman" w:hAnsi="Arial" w:cs="Arial"/>
                <w:b/>
                <w:sz w:val="20"/>
                <w:szCs w:val="20"/>
                <w:lang w:eastAsia="lt-LT"/>
              </w:rPr>
              <w:t>Rizikos matrica</w:t>
            </w:r>
          </w:p>
          <w:p w14:paraId="12F7C417" w14:textId="5F0A1121" w:rsidR="00D50619" w:rsidRPr="00271F9D" w:rsidRDefault="00D50619" w:rsidP="00D91C66">
            <w:pPr>
              <w:pStyle w:val="ListParagraph"/>
              <w:tabs>
                <w:tab w:val="left" w:pos="1134"/>
              </w:tabs>
              <w:ind w:left="0"/>
              <w:jc w:val="both"/>
              <w:rPr>
                <w:rFonts w:ascii="Arial" w:eastAsia="Times New Roman" w:hAnsi="Arial" w:cs="Arial"/>
                <w:b/>
                <w:i/>
                <w:iCs/>
                <w:sz w:val="16"/>
                <w:szCs w:val="16"/>
                <w:lang w:eastAsia="lt-LT"/>
              </w:rPr>
            </w:pPr>
            <w:r w:rsidRPr="00271F9D">
              <w:rPr>
                <w:rFonts w:ascii="Arial" w:eastAsia="Times New Roman" w:hAnsi="Arial" w:cs="Arial"/>
                <w:b/>
                <w:i/>
                <w:iCs/>
                <w:sz w:val="16"/>
                <w:szCs w:val="16"/>
                <w:lang w:eastAsia="lt-LT"/>
              </w:rPr>
              <w:t xml:space="preserve">Risk </w:t>
            </w:r>
            <w:proofErr w:type="spellStart"/>
            <w:r w:rsidRPr="00271F9D">
              <w:rPr>
                <w:rFonts w:ascii="Arial" w:eastAsia="Times New Roman" w:hAnsi="Arial" w:cs="Arial"/>
                <w:b/>
                <w:i/>
                <w:iCs/>
                <w:sz w:val="16"/>
                <w:szCs w:val="16"/>
                <w:lang w:eastAsia="lt-LT"/>
              </w:rPr>
              <w:t>matrix</w:t>
            </w:r>
            <w:proofErr w:type="spellEnd"/>
          </w:p>
        </w:tc>
        <w:tc>
          <w:tcPr>
            <w:tcW w:w="7288" w:type="dxa"/>
          </w:tcPr>
          <w:p w14:paraId="462A5DBA" w14:textId="1F591DAC" w:rsidR="00D50619" w:rsidRPr="00271F9D" w:rsidRDefault="00D50619" w:rsidP="00D91C66">
            <w:pPr>
              <w:pStyle w:val="ListParagraph"/>
              <w:tabs>
                <w:tab w:val="left" w:pos="1134"/>
              </w:tabs>
              <w:ind w:left="0"/>
              <w:jc w:val="both"/>
              <w:rPr>
                <w:rFonts w:ascii="Arial" w:eastAsia="Times New Roman" w:hAnsi="Arial" w:cs="Arial"/>
                <w:sz w:val="20"/>
                <w:szCs w:val="20"/>
                <w:lang w:eastAsia="lt-LT"/>
              </w:rPr>
            </w:pPr>
            <w:r w:rsidRPr="00271F9D">
              <w:rPr>
                <w:rFonts w:ascii="Arial" w:eastAsia="Times New Roman" w:hAnsi="Arial" w:cs="Arial"/>
                <w:sz w:val="20"/>
                <w:szCs w:val="20"/>
                <w:lang w:eastAsia="lt-LT"/>
              </w:rPr>
              <w:t>Įvairių rizikų išdėstymo ir pavaizdavimo priemonė, kurioje nustatomi poveikio ir tikimybės verčių intervalai;</w:t>
            </w:r>
          </w:p>
        </w:tc>
      </w:tr>
      <w:tr w:rsidR="001E47C2" w:rsidRPr="00271F9D" w14:paraId="13B5F471" w14:textId="77777777" w:rsidTr="000070E5">
        <w:tc>
          <w:tcPr>
            <w:tcW w:w="2351" w:type="dxa"/>
          </w:tcPr>
          <w:p w14:paraId="5187ADB8" w14:textId="77777777" w:rsidR="001E47C2" w:rsidRPr="00271F9D" w:rsidRDefault="001E47C2" w:rsidP="00D91C66">
            <w:pPr>
              <w:pStyle w:val="ListParagraph"/>
              <w:tabs>
                <w:tab w:val="left" w:pos="1134"/>
              </w:tabs>
              <w:ind w:left="0"/>
              <w:jc w:val="both"/>
              <w:rPr>
                <w:rFonts w:ascii="Arial" w:eastAsia="Times New Roman" w:hAnsi="Arial" w:cs="Arial"/>
                <w:b/>
                <w:sz w:val="20"/>
                <w:szCs w:val="20"/>
                <w:lang w:eastAsia="lt-LT"/>
              </w:rPr>
            </w:pPr>
            <w:r w:rsidRPr="00271F9D">
              <w:rPr>
                <w:rFonts w:ascii="Arial" w:eastAsia="Times New Roman" w:hAnsi="Arial" w:cs="Arial"/>
                <w:b/>
                <w:sz w:val="20"/>
                <w:szCs w:val="20"/>
                <w:lang w:eastAsia="lt-LT"/>
              </w:rPr>
              <w:t>Rizikos savininkas</w:t>
            </w:r>
          </w:p>
          <w:p w14:paraId="3E8587C2" w14:textId="18EDEFDA" w:rsidR="00D50619" w:rsidRPr="00271F9D" w:rsidRDefault="00D50619" w:rsidP="00D91C66">
            <w:pPr>
              <w:pStyle w:val="ListParagraph"/>
              <w:tabs>
                <w:tab w:val="left" w:pos="1134"/>
              </w:tabs>
              <w:ind w:left="0"/>
              <w:jc w:val="both"/>
              <w:rPr>
                <w:rFonts w:ascii="Arial" w:hAnsi="Arial" w:cs="Arial"/>
                <w:b/>
                <w:i/>
                <w:iCs/>
                <w:sz w:val="16"/>
                <w:szCs w:val="16"/>
              </w:rPr>
            </w:pPr>
            <w:r w:rsidRPr="00271F9D">
              <w:rPr>
                <w:rFonts w:ascii="Arial" w:eastAsia="Times New Roman" w:hAnsi="Arial" w:cs="Arial"/>
                <w:b/>
                <w:i/>
                <w:iCs/>
                <w:sz w:val="16"/>
                <w:szCs w:val="16"/>
                <w:lang w:eastAsia="lt-LT"/>
              </w:rPr>
              <w:t xml:space="preserve">Risk </w:t>
            </w:r>
            <w:proofErr w:type="spellStart"/>
            <w:r w:rsidRPr="00271F9D">
              <w:rPr>
                <w:rFonts w:ascii="Arial" w:eastAsia="Times New Roman" w:hAnsi="Arial" w:cs="Arial"/>
                <w:b/>
                <w:i/>
                <w:iCs/>
                <w:sz w:val="16"/>
                <w:szCs w:val="16"/>
                <w:lang w:eastAsia="lt-LT"/>
              </w:rPr>
              <w:t>owner</w:t>
            </w:r>
            <w:proofErr w:type="spellEnd"/>
          </w:p>
        </w:tc>
        <w:tc>
          <w:tcPr>
            <w:tcW w:w="7288" w:type="dxa"/>
          </w:tcPr>
          <w:p w14:paraId="23B5E243" w14:textId="7ABCCF96" w:rsidR="001E47C2" w:rsidRPr="00271F9D" w:rsidRDefault="001E47C2" w:rsidP="00D91C66">
            <w:pPr>
              <w:pStyle w:val="ListParagraph"/>
              <w:tabs>
                <w:tab w:val="left" w:pos="1134"/>
              </w:tabs>
              <w:ind w:left="0"/>
              <w:jc w:val="both"/>
              <w:rPr>
                <w:rFonts w:ascii="Arial" w:hAnsi="Arial" w:cs="Arial"/>
                <w:sz w:val="20"/>
                <w:szCs w:val="20"/>
              </w:rPr>
            </w:pPr>
            <w:r w:rsidRPr="00271F9D">
              <w:rPr>
                <w:rFonts w:ascii="Arial" w:hAnsi="Arial" w:cs="Arial"/>
                <w:sz w:val="20"/>
                <w:szCs w:val="20"/>
              </w:rPr>
              <w:t>Bendrovės struktūrinio padalinio vadovas ar kitas darbuotojas, atsakingas už į jo atsakomybės sritį patenkančios identifikuotos rizikos valdymą ir turintis tinkamus įgaliojimus šiai rizikai valdyti;</w:t>
            </w:r>
          </w:p>
        </w:tc>
      </w:tr>
      <w:tr w:rsidR="001E47C2" w:rsidRPr="00271F9D" w14:paraId="2C358889" w14:textId="77777777" w:rsidTr="000070E5">
        <w:tc>
          <w:tcPr>
            <w:tcW w:w="2351" w:type="dxa"/>
          </w:tcPr>
          <w:p w14:paraId="4EAB606B" w14:textId="6B80E224" w:rsidR="001E47C2" w:rsidRPr="00271F9D" w:rsidRDefault="001E47C2" w:rsidP="00D91C66">
            <w:pPr>
              <w:pStyle w:val="ListParagraph"/>
              <w:tabs>
                <w:tab w:val="left" w:pos="1134"/>
              </w:tabs>
              <w:ind w:left="0"/>
              <w:jc w:val="both"/>
              <w:rPr>
                <w:rFonts w:ascii="Arial" w:hAnsi="Arial" w:cs="Arial"/>
                <w:b/>
                <w:sz w:val="20"/>
                <w:szCs w:val="20"/>
              </w:rPr>
            </w:pPr>
            <w:r w:rsidRPr="00271F9D">
              <w:rPr>
                <w:rFonts w:ascii="Arial" w:hAnsi="Arial" w:cs="Arial"/>
                <w:b/>
                <w:sz w:val="20"/>
                <w:szCs w:val="20"/>
              </w:rPr>
              <w:t xml:space="preserve">Rizikos </w:t>
            </w:r>
            <w:r w:rsidRPr="00271F9D">
              <w:rPr>
                <w:rFonts w:ascii="Arial" w:eastAsia="Times New Roman" w:hAnsi="Arial" w:cs="Arial"/>
                <w:b/>
                <w:sz w:val="20"/>
                <w:szCs w:val="20"/>
                <w:lang w:eastAsia="lt-LT"/>
              </w:rPr>
              <w:t>tolerancijos rodiklis</w:t>
            </w:r>
          </w:p>
        </w:tc>
        <w:tc>
          <w:tcPr>
            <w:tcW w:w="7288" w:type="dxa"/>
          </w:tcPr>
          <w:p w14:paraId="1F9EDA9D" w14:textId="2DE9D071" w:rsidR="001E47C2" w:rsidRPr="00271F9D" w:rsidRDefault="001E47C2" w:rsidP="00D91C66">
            <w:pPr>
              <w:pStyle w:val="ListParagraph"/>
              <w:tabs>
                <w:tab w:val="left" w:pos="1134"/>
              </w:tabs>
              <w:ind w:left="0"/>
              <w:jc w:val="both"/>
              <w:rPr>
                <w:rFonts w:ascii="Arial" w:hAnsi="Arial" w:cs="Arial"/>
                <w:sz w:val="20"/>
                <w:szCs w:val="20"/>
              </w:rPr>
            </w:pPr>
            <w:r w:rsidRPr="00271F9D">
              <w:rPr>
                <w:rFonts w:ascii="Arial" w:eastAsia="Times New Roman" w:hAnsi="Arial" w:cs="Arial"/>
                <w:sz w:val="20"/>
                <w:szCs w:val="20"/>
                <w:lang w:eastAsia="lt-LT"/>
              </w:rPr>
              <w:t>Bendrovės arba suinteresuotosios šalies pasirengimas atlaikyti riziką po veiksmų su rizika, siekiant įgyvendinti savo tikslus. Rizikos tolerancijos rodiklis nustatomas pagrindinėms Bendrovės rizikoms ir/ar strateginiams tikslams. Rodikliui pasiekus ribą yra manoma, kad kyla reikšminga rizika nepasiekti nustatytų tikslų, tad rizikos savininkas privalo inicijuoti aktyvias rizikos valdymo priemones;</w:t>
            </w:r>
          </w:p>
        </w:tc>
      </w:tr>
      <w:tr w:rsidR="001E47C2" w:rsidRPr="00271F9D" w14:paraId="516457B7" w14:textId="77777777" w:rsidTr="000070E5">
        <w:tc>
          <w:tcPr>
            <w:tcW w:w="2351" w:type="dxa"/>
          </w:tcPr>
          <w:p w14:paraId="32748C7E" w14:textId="77777777" w:rsidR="001E47C2" w:rsidRPr="00271F9D" w:rsidRDefault="001E47C2" w:rsidP="00D91C66">
            <w:pPr>
              <w:pStyle w:val="ListParagraph"/>
              <w:tabs>
                <w:tab w:val="left" w:pos="1134"/>
              </w:tabs>
              <w:ind w:left="0"/>
              <w:jc w:val="both"/>
              <w:rPr>
                <w:rFonts w:ascii="Arial" w:eastAsia="Times New Roman" w:hAnsi="Arial" w:cs="Arial"/>
                <w:b/>
                <w:sz w:val="20"/>
                <w:szCs w:val="20"/>
                <w:lang w:eastAsia="lt-LT"/>
              </w:rPr>
            </w:pPr>
            <w:r w:rsidRPr="00271F9D">
              <w:rPr>
                <w:rFonts w:ascii="Arial" w:hAnsi="Arial" w:cs="Arial"/>
                <w:b/>
                <w:sz w:val="20"/>
                <w:szCs w:val="20"/>
              </w:rPr>
              <w:t xml:space="preserve">Rizikos </w:t>
            </w:r>
            <w:r w:rsidRPr="00271F9D">
              <w:rPr>
                <w:rFonts w:ascii="Arial" w:eastAsia="Times New Roman" w:hAnsi="Arial" w:cs="Arial"/>
                <w:b/>
                <w:sz w:val="20"/>
                <w:szCs w:val="20"/>
                <w:lang w:eastAsia="lt-LT"/>
              </w:rPr>
              <w:t>valdymas</w:t>
            </w:r>
          </w:p>
          <w:p w14:paraId="5091B35D" w14:textId="5AB8B870" w:rsidR="00FE038A" w:rsidRPr="00271F9D" w:rsidRDefault="00FE038A" w:rsidP="00D91C66">
            <w:pPr>
              <w:pStyle w:val="ListParagraph"/>
              <w:tabs>
                <w:tab w:val="left" w:pos="1134"/>
              </w:tabs>
              <w:ind w:left="0"/>
              <w:jc w:val="both"/>
              <w:rPr>
                <w:rFonts w:ascii="Arial" w:hAnsi="Arial" w:cs="Arial"/>
                <w:b/>
                <w:i/>
                <w:iCs/>
                <w:sz w:val="16"/>
                <w:szCs w:val="16"/>
              </w:rPr>
            </w:pPr>
            <w:r w:rsidRPr="00271F9D">
              <w:rPr>
                <w:rFonts w:ascii="Arial" w:eastAsia="Times New Roman" w:hAnsi="Arial" w:cs="Arial"/>
                <w:b/>
                <w:i/>
                <w:iCs/>
                <w:sz w:val="16"/>
                <w:szCs w:val="16"/>
                <w:lang w:eastAsia="lt-LT"/>
              </w:rPr>
              <w:t xml:space="preserve">Risk </w:t>
            </w:r>
            <w:proofErr w:type="spellStart"/>
            <w:r w:rsidRPr="00271F9D">
              <w:rPr>
                <w:rFonts w:ascii="Arial" w:eastAsia="Times New Roman" w:hAnsi="Arial" w:cs="Arial"/>
                <w:b/>
                <w:i/>
                <w:iCs/>
                <w:sz w:val="16"/>
                <w:szCs w:val="16"/>
                <w:lang w:eastAsia="lt-LT"/>
              </w:rPr>
              <w:t>management</w:t>
            </w:r>
            <w:proofErr w:type="spellEnd"/>
          </w:p>
        </w:tc>
        <w:tc>
          <w:tcPr>
            <w:tcW w:w="7288" w:type="dxa"/>
          </w:tcPr>
          <w:p w14:paraId="009AE589" w14:textId="526CFB35" w:rsidR="001E47C2" w:rsidRPr="00271F9D" w:rsidRDefault="001E47C2" w:rsidP="00D91C66">
            <w:pPr>
              <w:pStyle w:val="ListParagraph"/>
              <w:tabs>
                <w:tab w:val="left" w:pos="1134"/>
              </w:tabs>
              <w:ind w:left="0"/>
              <w:jc w:val="both"/>
              <w:rPr>
                <w:rFonts w:ascii="Arial" w:hAnsi="Arial" w:cs="Arial"/>
                <w:sz w:val="20"/>
                <w:szCs w:val="20"/>
              </w:rPr>
            </w:pPr>
            <w:r w:rsidRPr="00271F9D">
              <w:rPr>
                <w:rFonts w:ascii="Arial" w:eastAsia="Times New Roman" w:hAnsi="Arial" w:cs="Arial"/>
                <w:sz w:val="20"/>
                <w:szCs w:val="20"/>
                <w:lang w:eastAsia="lt-LT"/>
              </w:rPr>
              <w:t>Atsižvelgiant į riziką suderinti veiksmai, skirti organizacijos veiklai nukreipti ir kontroliuoti. Valdymo pagrindą sudaro rizikos veiksnių analizė, reakcijos planavimas ir įgyvendinimas bei informacijos sklaida Bendrovės viduje;</w:t>
            </w:r>
          </w:p>
        </w:tc>
      </w:tr>
      <w:tr w:rsidR="006F5996" w:rsidRPr="00271F9D" w14:paraId="75CAD71F" w14:textId="77777777" w:rsidTr="000070E5">
        <w:tc>
          <w:tcPr>
            <w:tcW w:w="2351" w:type="dxa"/>
          </w:tcPr>
          <w:p w14:paraId="66BF6EF7" w14:textId="59B03BEF" w:rsidR="006F5996" w:rsidRPr="00271F9D" w:rsidRDefault="005B70D6" w:rsidP="00FC3C71">
            <w:pPr>
              <w:pStyle w:val="ListParagraph"/>
              <w:tabs>
                <w:tab w:val="left" w:pos="1134"/>
              </w:tabs>
              <w:ind w:left="0"/>
              <w:jc w:val="both"/>
              <w:rPr>
                <w:rFonts w:ascii="Arial" w:hAnsi="Arial" w:cs="Arial"/>
                <w:b/>
                <w:color w:val="000000"/>
                <w:sz w:val="20"/>
              </w:rPr>
            </w:pPr>
            <w:r w:rsidRPr="00271F9D">
              <w:rPr>
                <w:rFonts w:ascii="Arial" w:hAnsi="Arial" w:cs="Arial"/>
                <w:b/>
                <w:color w:val="000000"/>
                <w:sz w:val="20"/>
              </w:rPr>
              <w:t xml:space="preserve">Rizikos </w:t>
            </w:r>
            <w:r w:rsidRPr="00271F9D">
              <w:rPr>
                <w:rFonts w:ascii="Arial" w:hAnsi="Arial" w:cs="Arial"/>
                <w:b/>
                <w:bCs/>
                <w:color w:val="000000"/>
                <w:sz w:val="20"/>
                <w:szCs w:val="20"/>
              </w:rPr>
              <w:t>valdymo komitetas</w:t>
            </w:r>
          </w:p>
        </w:tc>
        <w:tc>
          <w:tcPr>
            <w:tcW w:w="7288" w:type="dxa"/>
          </w:tcPr>
          <w:p w14:paraId="5910D511" w14:textId="2E2D8B83" w:rsidR="006F5996" w:rsidRPr="00271F9D" w:rsidRDefault="006F5996" w:rsidP="00FC3C71">
            <w:pPr>
              <w:pStyle w:val="ListParagraph"/>
              <w:tabs>
                <w:tab w:val="left" w:pos="1134"/>
              </w:tabs>
              <w:ind w:left="0"/>
              <w:jc w:val="both"/>
              <w:rPr>
                <w:rFonts w:ascii="Arial" w:hAnsi="Arial" w:cs="Arial"/>
                <w:color w:val="000000"/>
                <w:sz w:val="20"/>
              </w:rPr>
            </w:pPr>
            <w:r w:rsidRPr="00271F9D">
              <w:rPr>
                <w:rFonts w:ascii="Arial" w:hAnsi="Arial" w:cs="Arial"/>
                <w:color w:val="000000"/>
                <w:sz w:val="20"/>
              </w:rPr>
              <w:t xml:space="preserve">Bendrovės </w:t>
            </w:r>
            <w:r w:rsidRPr="00271F9D">
              <w:rPr>
                <w:rFonts w:ascii="Arial" w:hAnsi="Arial" w:cs="Arial"/>
                <w:color w:val="000000"/>
                <w:sz w:val="20"/>
                <w:szCs w:val="20"/>
              </w:rPr>
              <w:t xml:space="preserve">generalinio direktoriaus </w:t>
            </w:r>
            <w:r w:rsidR="00C67B1C" w:rsidRPr="00271F9D">
              <w:rPr>
                <w:rFonts w:ascii="Arial" w:hAnsi="Arial" w:cs="Arial"/>
                <w:color w:val="000000"/>
                <w:sz w:val="20"/>
                <w:szCs w:val="20"/>
              </w:rPr>
              <w:t>įsakymu</w:t>
            </w:r>
            <w:r w:rsidRPr="00271F9D">
              <w:rPr>
                <w:rFonts w:ascii="Arial" w:hAnsi="Arial" w:cs="Arial"/>
                <w:color w:val="000000"/>
                <w:sz w:val="20"/>
                <w:szCs w:val="20"/>
              </w:rPr>
              <w:t xml:space="preserve"> sudarytas komitetas, kuris atlieka </w:t>
            </w:r>
            <w:r w:rsidRPr="00271F9D">
              <w:rPr>
                <w:rFonts w:ascii="Arial" w:hAnsi="Arial" w:cs="Arial"/>
                <w:color w:val="000000"/>
                <w:sz w:val="20"/>
              </w:rPr>
              <w:t xml:space="preserve">rizikos </w:t>
            </w:r>
            <w:r w:rsidRPr="00271F9D">
              <w:rPr>
                <w:rFonts w:ascii="Arial" w:hAnsi="Arial" w:cs="Arial"/>
                <w:color w:val="000000"/>
                <w:sz w:val="20"/>
                <w:szCs w:val="20"/>
              </w:rPr>
              <w:t>valdymo priežiūros</w:t>
            </w:r>
            <w:r w:rsidRPr="00271F9D">
              <w:rPr>
                <w:rFonts w:ascii="Arial" w:hAnsi="Arial" w:cs="Arial"/>
                <w:color w:val="000000"/>
                <w:sz w:val="20"/>
              </w:rPr>
              <w:t xml:space="preserve"> ir </w:t>
            </w:r>
            <w:r w:rsidRPr="00271F9D">
              <w:rPr>
                <w:rFonts w:ascii="Arial" w:hAnsi="Arial" w:cs="Arial"/>
                <w:color w:val="000000"/>
                <w:sz w:val="20"/>
                <w:szCs w:val="20"/>
              </w:rPr>
              <w:t>kontrolės funkcijas</w:t>
            </w:r>
            <w:r w:rsidR="00C67B1C" w:rsidRPr="00271F9D">
              <w:rPr>
                <w:rFonts w:ascii="Arial" w:hAnsi="Arial" w:cs="Arial"/>
                <w:color w:val="000000"/>
                <w:sz w:val="20"/>
              </w:rPr>
              <w:t>;</w:t>
            </w:r>
          </w:p>
        </w:tc>
      </w:tr>
      <w:tr w:rsidR="001E47C2" w:rsidRPr="00271F9D" w14:paraId="1D7F6D58" w14:textId="77777777" w:rsidTr="000070E5">
        <w:tc>
          <w:tcPr>
            <w:tcW w:w="2351" w:type="dxa"/>
          </w:tcPr>
          <w:p w14:paraId="7A0EF389" w14:textId="48B558A0" w:rsidR="001E47C2" w:rsidRPr="00271F9D" w:rsidRDefault="001E47C2" w:rsidP="00D91C66">
            <w:pPr>
              <w:pStyle w:val="ListParagraph"/>
              <w:tabs>
                <w:tab w:val="left" w:pos="1134"/>
              </w:tabs>
              <w:ind w:left="0"/>
              <w:jc w:val="both"/>
              <w:rPr>
                <w:rFonts w:ascii="Arial" w:hAnsi="Arial" w:cs="Arial"/>
                <w:b/>
                <w:sz w:val="20"/>
                <w:szCs w:val="20"/>
              </w:rPr>
            </w:pPr>
            <w:r w:rsidRPr="00271F9D">
              <w:rPr>
                <w:rFonts w:ascii="Arial" w:hAnsi="Arial" w:cs="Arial"/>
                <w:b/>
                <w:sz w:val="20"/>
                <w:szCs w:val="20"/>
              </w:rPr>
              <w:t>Rizikos valdymo tvarka</w:t>
            </w:r>
          </w:p>
        </w:tc>
        <w:tc>
          <w:tcPr>
            <w:tcW w:w="7288" w:type="dxa"/>
          </w:tcPr>
          <w:p w14:paraId="2AA1D544" w14:textId="42BD2AD6" w:rsidR="001E47C2" w:rsidRPr="00271F9D" w:rsidRDefault="001E47C2" w:rsidP="00D91C66">
            <w:pPr>
              <w:pStyle w:val="ListParagraph"/>
              <w:tabs>
                <w:tab w:val="left" w:pos="1134"/>
              </w:tabs>
              <w:ind w:left="0"/>
              <w:jc w:val="both"/>
              <w:rPr>
                <w:rFonts w:ascii="Arial" w:hAnsi="Arial" w:cs="Arial"/>
                <w:sz w:val="20"/>
                <w:szCs w:val="20"/>
              </w:rPr>
            </w:pPr>
            <w:r w:rsidRPr="00271F9D">
              <w:rPr>
                <w:rFonts w:ascii="Arial" w:hAnsi="Arial" w:cs="Arial"/>
                <w:sz w:val="20"/>
                <w:szCs w:val="20"/>
              </w:rPr>
              <w:t xml:space="preserve">Bendrovės vidaus dokumentas, </w:t>
            </w:r>
            <w:r w:rsidRPr="00271F9D">
              <w:rPr>
                <w:rFonts w:ascii="Arial" w:eastAsia="Times New Roman" w:hAnsi="Arial" w:cs="Arial"/>
                <w:sz w:val="20"/>
                <w:szCs w:val="20"/>
                <w:lang w:eastAsia="lt-LT"/>
              </w:rPr>
              <w:t>kuris nustato, kaip įgyvendinama ši Politika. Dokumente detalizuojamas</w:t>
            </w:r>
            <w:r w:rsidRPr="00271F9D">
              <w:rPr>
                <w:rFonts w:ascii="Arial" w:hAnsi="Arial" w:cs="Arial"/>
                <w:sz w:val="20"/>
                <w:szCs w:val="20"/>
              </w:rPr>
              <w:t xml:space="preserve"> Bendrovės rizikos</w:t>
            </w:r>
            <w:r w:rsidRPr="00271F9D">
              <w:rPr>
                <w:rFonts w:ascii="Arial" w:eastAsia="Times New Roman" w:hAnsi="Arial" w:cs="Arial"/>
                <w:sz w:val="20"/>
                <w:szCs w:val="20"/>
                <w:lang w:eastAsia="lt-LT"/>
              </w:rPr>
              <w:t xml:space="preserve"> valdymo procesas, dalyviai</w:t>
            </w:r>
            <w:r w:rsidRPr="00271F9D">
              <w:rPr>
                <w:rFonts w:ascii="Arial" w:hAnsi="Arial" w:cs="Arial"/>
                <w:sz w:val="20"/>
                <w:szCs w:val="20"/>
              </w:rPr>
              <w:t xml:space="preserve"> ir </w:t>
            </w:r>
            <w:r w:rsidRPr="00271F9D">
              <w:rPr>
                <w:rFonts w:ascii="Arial" w:eastAsia="Times New Roman" w:hAnsi="Arial" w:cs="Arial"/>
                <w:sz w:val="20"/>
                <w:szCs w:val="20"/>
                <w:lang w:eastAsia="lt-LT"/>
              </w:rPr>
              <w:t>atsakomybės;</w:t>
            </w:r>
          </w:p>
        </w:tc>
      </w:tr>
      <w:tr w:rsidR="001E47C2" w:rsidRPr="00271F9D" w14:paraId="26EA24F4" w14:textId="77777777" w:rsidTr="000070E5">
        <w:tc>
          <w:tcPr>
            <w:tcW w:w="2351" w:type="dxa"/>
          </w:tcPr>
          <w:p w14:paraId="60CC6CE9" w14:textId="77777777" w:rsidR="001E47C2" w:rsidRPr="00271F9D" w:rsidRDefault="001E47C2" w:rsidP="00D91C66">
            <w:pPr>
              <w:pStyle w:val="ListParagraph"/>
              <w:tabs>
                <w:tab w:val="left" w:pos="1134"/>
              </w:tabs>
              <w:ind w:left="0"/>
              <w:jc w:val="both"/>
              <w:rPr>
                <w:rFonts w:ascii="Arial" w:hAnsi="Arial" w:cs="Arial"/>
                <w:b/>
                <w:sz w:val="20"/>
                <w:szCs w:val="20"/>
              </w:rPr>
            </w:pPr>
            <w:r w:rsidRPr="00271F9D">
              <w:rPr>
                <w:rFonts w:ascii="Arial" w:hAnsi="Arial" w:cs="Arial"/>
                <w:b/>
                <w:sz w:val="20"/>
                <w:szCs w:val="20"/>
              </w:rPr>
              <w:t>Rizikų registras</w:t>
            </w:r>
          </w:p>
          <w:p w14:paraId="3732361C" w14:textId="6628FB29" w:rsidR="00DE506E" w:rsidRPr="00271F9D" w:rsidRDefault="00DE506E" w:rsidP="00D91C66">
            <w:pPr>
              <w:pStyle w:val="ListParagraph"/>
              <w:tabs>
                <w:tab w:val="left" w:pos="1134"/>
              </w:tabs>
              <w:ind w:left="0"/>
              <w:jc w:val="both"/>
              <w:rPr>
                <w:rFonts w:ascii="Arial" w:hAnsi="Arial" w:cs="Arial"/>
                <w:b/>
                <w:i/>
                <w:iCs/>
                <w:sz w:val="16"/>
                <w:szCs w:val="16"/>
              </w:rPr>
            </w:pPr>
            <w:r w:rsidRPr="00271F9D">
              <w:rPr>
                <w:rFonts w:ascii="Arial" w:hAnsi="Arial" w:cs="Arial"/>
                <w:b/>
                <w:i/>
                <w:iCs/>
                <w:sz w:val="16"/>
                <w:szCs w:val="16"/>
              </w:rPr>
              <w:t xml:space="preserve">Risk </w:t>
            </w:r>
            <w:proofErr w:type="spellStart"/>
            <w:r w:rsidRPr="00271F9D">
              <w:rPr>
                <w:rFonts w:ascii="Arial" w:hAnsi="Arial" w:cs="Arial"/>
                <w:b/>
                <w:i/>
                <w:iCs/>
                <w:sz w:val="16"/>
                <w:szCs w:val="16"/>
              </w:rPr>
              <w:t>register</w:t>
            </w:r>
            <w:proofErr w:type="spellEnd"/>
          </w:p>
        </w:tc>
        <w:tc>
          <w:tcPr>
            <w:tcW w:w="7288" w:type="dxa"/>
          </w:tcPr>
          <w:p w14:paraId="1C529350" w14:textId="77DFCB69" w:rsidR="001E47C2" w:rsidRPr="00271F9D" w:rsidRDefault="001E47C2" w:rsidP="00D91C66">
            <w:pPr>
              <w:pStyle w:val="ListParagraph"/>
              <w:tabs>
                <w:tab w:val="left" w:pos="1134"/>
              </w:tabs>
              <w:ind w:left="0"/>
              <w:jc w:val="both"/>
              <w:rPr>
                <w:rFonts w:ascii="Arial" w:hAnsi="Arial" w:cs="Arial"/>
                <w:sz w:val="20"/>
                <w:szCs w:val="20"/>
              </w:rPr>
            </w:pPr>
            <w:r w:rsidRPr="00271F9D">
              <w:rPr>
                <w:rFonts w:ascii="Arial" w:eastAsia="Times New Roman" w:hAnsi="Arial" w:cs="Arial"/>
                <w:sz w:val="20"/>
                <w:szCs w:val="20"/>
                <w:lang w:eastAsia="lt-LT"/>
              </w:rPr>
              <w:t>Bendrovės vidaus dokumentas, kuriame fiksuojam</w:t>
            </w:r>
            <w:r w:rsidR="00DE506E" w:rsidRPr="00271F9D">
              <w:rPr>
                <w:rFonts w:ascii="Arial" w:eastAsia="Times New Roman" w:hAnsi="Arial" w:cs="Arial"/>
                <w:sz w:val="20"/>
                <w:szCs w:val="20"/>
                <w:lang w:eastAsia="lt-LT"/>
              </w:rPr>
              <w:t>i įrašai apie</w:t>
            </w:r>
            <w:r w:rsidRPr="00271F9D">
              <w:rPr>
                <w:rFonts w:ascii="Arial" w:eastAsia="Times New Roman" w:hAnsi="Arial" w:cs="Arial"/>
                <w:sz w:val="20"/>
                <w:szCs w:val="20"/>
                <w:lang w:eastAsia="lt-LT"/>
              </w:rPr>
              <w:t xml:space="preserve"> aktuali</w:t>
            </w:r>
            <w:r w:rsidR="00DE506E" w:rsidRPr="00271F9D">
              <w:rPr>
                <w:rFonts w:ascii="Arial" w:eastAsia="Times New Roman" w:hAnsi="Arial" w:cs="Arial"/>
                <w:sz w:val="20"/>
                <w:szCs w:val="20"/>
                <w:lang w:eastAsia="lt-LT"/>
              </w:rPr>
              <w:t>a</w:t>
            </w:r>
            <w:r w:rsidRPr="00271F9D">
              <w:rPr>
                <w:rFonts w:ascii="Arial" w:eastAsia="Times New Roman" w:hAnsi="Arial" w:cs="Arial"/>
                <w:sz w:val="20"/>
                <w:szCs w:val="20"/>
                <w:lang w:eastAsia="lt-LT"/>
              </w:rPr>
              <w:t>s Bendrovės veiklos rizik</w:t>
            </w:r>
            <w:r w:rsidR="00DE506E" w:rsidRPr="00271F9D">
              <w:rPr>
                <w:rFonts w:ascii="Arial" w:eastAsia="Times New Roman" w:hAnsi="Arial" w:cs="Arial"/>
                <w:sz w:val="20"/>
                <w:szCs w:val="20"/>
                <w:lang w:eastAsia="lt-LT"/>
              </w:rPr>
              <w:t>a</w:t>
            </w:r>
            <w:r w:rsidRPr="00271F9D">
              <w:rPr>
                <w:rFonts w:ascii="Arial" w:eastAsia="Times New Roman" w:hAnsi="Arial" w:cs="Arial"/>
                <w:sz w:val="20"/>
                <w:szCs w:val="20"/>
                <w:lang w:eastAsia="lt-LT"/>
              </w:rPr>
              <w:t xml:space="preserve">s, </w:t>
            </w:r>
            <w:r w:rsidR="00CF070F" w:rsidRPr="00271F9D">
              <w:rPr>
                <w:rFonts w:ascii="Arial" w:eastAsia="Times New Roman" w:hAnsi="Arial" w:cs="Arial"/>
                <w:sz w:val="20"/>
                <w:szCs w:val="20"/>
                <w:lang w:eastAsia="lt-LT"/>
              </w:rPr>
              <w:t xml:space="preserve">rizikos analizės </w:t>
            </w:r>
            <w:r w:rsidR="0050391C" w:rsidRPr="00271F9D">
              <w:rPr>
                <w:rFonts w:ascii="Arial" w:eastAsia="Times New Roman" w:hAnsi="Arial" w:cs="Arial"/>
                <w:sz w:val="20"/>
                <w:szCs w:val="20"/>
                <w:lang w:eastAsia="lt-LT"/>
              </w:rPr>
              <w:t xml:space="preserve">ir vertinimo </w:t>
            </w:r>
            <w:r w:rsidR="00CF070F" w:rsidRPr="00271F9D">
              <w:rPr>
                <w:rFonts w:ascii="Arial" w:eastAsia="Times New Roman" w:hAnsi="Arial" w:cs="Arial"/>
                <w:sz w:val="20"/>
                <w:szCs w:val="20"/>
                <w:lang w:eastAsia="lt-LT"/>
              </w:rPr>
              <w:t>rezultatai, rizikos valdymo priemonės ir jų įgyvendinimo stebėsenos rezultatai</w:t>
            </w:r>
            <w:r w:rsidRPr="00271F9D">
              <w:rPr>
                <w:rFonts w:ascii="Arial" w:eastAsia="Times New Roman" w:hAnsi="Arial" w:cs="Arial"/>
                <w:sz w:val="20"/>
                <w:szCs w:val="20"/>
                <w:lang w:eastAsia="lt-LT"/>
              </w:rPr>
              <w:t>;</w:t>
            </w:r>
            <w:r w:rsidR="00CF070F" w:rsidRPr="00271F9D">
              <w:rPr>
                <w:rFonts w:ascii="Arial" w:hAnsi="Arial" w:cs="Arial"/>
                <w:sz w:val="20"/>
                <w:szCs w:val="20"/>
              </w:rPr>
              <w:t xml:space="preserve"> </w:t>
            </w:r>
          </w:p>
        </w:tc>
      </w:tr>
      <w:tr w:rsidR="006F5996" w:rsidRPr="00271F9D" w14:paraId="39999CDE" w14:textId="77777777" w:rsidTr="000070E5">
        <w:tc>
          <w:tcPr>
            <w:tcW w:w="2351" w:type="dxa"/>
          </w:tcPr>
          <w:p w14:paraId="0BADCE63" w14:textId="6D8D696E" w:rsidR="006F5996" w:rsidRPr="00271F9D" w:rsidRDefault="00D6101F" w:rsidP="006F5996">
            <w:pPr>
              <w:pStyle w:val="ListParagraph"/>
              <w:tabs>
                <w:tab w:val="left" w:pos="1134"/>
              </w:tabs>
              <w:ind w:left="0"/>
              <w:jc w:val="both"/>
              <w:rPr>
                <w:rFonts w:ascii="Arial" w:hAnsi="Arial" w:cs="Arial"/>
                <w:b/>
                <w:color w:val="000000"/>
                <w:sz w:val="20"/>
              </w:rPr>
            </w:pPr>
            <w:r w:rsidRPr="00271F9D">
              <w:rPr>
                <w:rFonts w:ascii="Arial" w:hAnsi="Arial" w:cs="Arial"/>
                <w:b/>
                <w:bCs/>
                <w:color w:val="000000"/>
                <w:sz w:val="20"/>
                <w:szCs w:val="20"/>
              </w:rPr>
              <w:t>Rizikų vadovas</w:t>
            </w:r>
          </w:p>
        </w:tc>
        <w:tc>
          <w:tcPr>
            <w:tcW w:w="7288" w:type="dxa"/>
          </w:tcPr>
          <w:p w14:paraId="25D3636A" w14:textId="146D74A6" w:rsidR="006F5996" w:rsidRPr="00271F9D" w:rsidRDefault="00D6101F" w:rsidP="006F5996">
            <w:pPr>
              <w:pStyle w:val="ListParagraph"/>
              <w:tabs>
                <w:tab w:val="left" w:pos="1134"/>
              </w:tabs>
              <w:ind w:left="0"/>
              <w:jc w:val="both"/>
              <w:rPr>
                <w:rFonts w:ascii="Arial" w:hAnsi="Arial" w:cs="Arial"/>
                <w:color w:val="000000"/>
                <w:sz w:val="20"/>
              </w:rPr>
            </w:pPr>
            <w:r w:rsidRPr="00271F9D">
              <w:rPr>
                <w:rFonts w:ascii="Arial" w:hAnsi="Arial" w:cs="Arial"/>
                <w:color w:val="000000"/>
                <w:sz w:val="20"/>
                <w:szCs w:val="20"/>
              </w:rPr>
              <w:t>D</w:t>
            </w:r>
            <w:r w:rsidR="006F5996" w:rsidRPr="00271F9D">
              <w:rPr>
                <w:rFonts w:ascii="Arial" w:hAnsi="Arial" w:cs="Arial"/>
                <w:color w:val="000000"/>
                <w:sz w:val="20"/>
                <w:szCs w:val="20"/>
              </w:rPr>
              <w:t xml:space="preserve">arbuotojas, atsakingas už rizikos valdymą: </w:t>
            </w:r>
            <w:r w:rsidR="0050391C" w:rsidRPr="00271F9D">
              <w:rPr>
                <w:rFonts w:ascii="Arial" w:hAnsi="Arial" w:cs="Arial"/>
                <w:color w:val="000000"/>
                <w:sz w:val="20"/>
                <w:szCs w:val="20"/>
              </w:rPr>
              <w:t xml:space="preserve">rizikos valdymo sistemos tobulinimą, </w:t>
            </w:r>
            <w:r w:rsidR="006F5996" w:rsidRPr="00271F9D">
              <w:rPr>
                <w:rFonts w:ascii="Arial" w:hAnsi="Arial" w:cs="Arial"/>
                <w:sz w:val="20"/>
                <w:szCs w:val="20"/>
              </w:rPr>
              <w:t>rizikos valdymo informacijos surinkimą iš rizikos savininkų, rizikų registro agregavimą, rizikos valdymo sprendimų priėmim</w:t>
            </w:r>
            <w:r w:rsidR="0050391C" w:rsidRPr="00271F9D">
              <w:rPr>
                <w:rFonts w:ascii="Arial" w:hAnsi="Arial" w:cs="Arial"/>
                <w:sz w:val="20"/>
                <w:szCs w:val="20"/>
              </w:rPr>
              <w:t>o organizavimą</w:t>
            </w:r>
            <w:r w:rsidR="006F5996" w:rsidRPr="00271F9D">
              <w:rPr>
                <w:rFonts w:ascii="Arial" w:hAnsi="Arial" w:cs="Arial"/>
                <w:sz w:val="20"/>
                <w:szCs w:val="20"/>
              </w:rPr>
              <w:t>, rizikos valdymo planų įgyvendinimo stebėseną</w:t>
            </w:r>
            <w:r w:rsidR="00C67B1C" w:rsidRPr="00271F9D">
              <w:rPr>
                <w:rFonts w:ascii="Arial" w:hAnsi="Arial" w:cs="Arial"/>
                <w:sz w:val="20"/>
                <w:szCs w:val="20"/>
              </w:rPr>
              <w:t>;</w:t>
            </w:r>
          </w:p>
        </w:tc>
      </w:tr>
      <w:tr w:rsidR="006F5996" w:rsidRPr="00271F9D" w14:paraId="3087CC9C" w14:textId="77777777" w:rsidTr="000070E5">
        <w:tc>
          <w:tcPr>
            <w:tcW w:w="2351" w:type="dxa"/>
          </w:tcPr>
          <w:p w14:paraId="46FB6113" w14:textId="77777777" w:rsidR="006F5996" w:rsidRPr="00271F9D" w:rsidRDefault="006F5996" w:rsidP="006F5996">
            <w:pPr>
              <w:pStyle w:val="ListParagraph"/>
              <w:tabs>
                <w:tab w:val="left" w:pos="1134"/>
              </w:tabs>
              <w:ind w:left="0"/>
              <w:jc w:val="both"/>
              <w:rPr>
                <w:rFonts w:ascii="Arial" w:hAnsi="Arial" w:cs="Arial"/>
                <w:b/>
                <w:sz w:val="20"/>
                <w:szCs w:val="20"/>
              </w:rPr>
            </w:pPr>
            <w:r w:rsidRPr="00271F9D">
              <w:rPr>
                <w:rFonts w:ascii="Arial" w:hAnsi="Arial" w:cs="Arial"/>
                <w:b/>
                <w:sz w:val="20"/>
                <w:szCs w:val="20"/>
              </w:rPr>
              <w:t>Suinteresuotosios šalys</w:t>
            </w:r>
          </w:p>
          <w:p w14:paraId="5FBCE17F" w14:textId="05690F8D" w:rsidR="00D50619" w:rsidRPr="00271F9D" w:rsidRDefault="00D50619" w:rsidP="006F5996">
            <w:pPr>
              <w:pStyle w:val="ListParagraph"/>
              <w:tabs>
                <w:tab w:val="left" w:pos="1134"/>
              </w:tabs>
              <w:ind w:left="0"/>
              <w:jc w:val="both"/>
              <w:rPr>
                <w:rFonts w:ascii="Arial" w:hAnsi="Arial" w:cs="Arial"/>
                <w:b/>
                <w:i/>
                <w:iCs/>
                <w:sz w:val="16"/>
                <w:szCs w:val="16"/>
              </w:rPr>
            </w:pPr>
            <w:proofErr w:type="spellStart"/>
            <w:r w:rsidRPr="00271F9D">
              <w:rPr>
                <w:rFonts w:ascii="Arial" w:hAnsi="Arial" w:cs="Arial"/>
                <w:b/>
                <w:i/>
                <w:iCs/>
                <w:sz w:val="16"/>
                <w:szCs w:val="16"/>
              </w:rPr>
              <w:t>Stakeholders</w:t>
            </w:r>
            <w:proofErr w:type="spellEnd"/>
            <w:r w:rsidRPr="00271F9D">
              <w:rPr>
                <w:rFonts w:ascii="Arial" w:hAnsi="Arial" w:cs="Arial"/>
                <w:b/>
                <w:i/>
                <w:iCs/>
                <w:sz w:val="16"/>
                <w:szCs w:val="16"/>
              </w:rPr>
              <w:t xml:space="preserve"> </w:t>
            </w:r>
          </w:p>
        </w:tc>
        <w:tc>
          <w:tcPr>
            <w:tcW w:w="7288" w:type="dxa"/>
          </w:tcPr>
          <w:p w14:paraId="6C23B29B" w14:textId="16D901AF" w:rsidR="006F5996" w:rsidRPr="00271F9D" w:rsidRDefault="00D6101F" w:rsidP="006F5996">
            <w:pPr>
              <w:pStyle w:val="ListParagraph"/>
              <w:tabs>
                <w:tab w:val="left" w:pos="1134"/>
              </w:tabs>
              <w:ind w:left="0"/>
              <w:jc w:val="both"/>
              <w:rPr>
                <w:rFonts w:ascii="Arial" w:hAnsi="Arial" w:cs="Arial"/>
                <w:sz w:val="20"/>
                <w:szCs w:val="20"/>
              </w:rPr>
            </w:pPr>
            <w:r w:rsidRPr="00271F9D">
              <w:rPr>
                <w:rFonts w:ascii="Arial" w:eastAsia="Times New Roman" w:hAnsi="Arial" w:cs="Arial"/>
                <w:sz w:val="20"/>
                <w:szCs w:val="20"/>
                <w:lang w:eastAsia="lt-LT"/>
              </w:rPr>
              <w:t>Asmenys arba organizacijos, galintys paveikti sprendimą ar veiklą, būti arba jaustis jų paveikti</w:t>
            </w:r>
            <w:r w:rsidR="006F5996" w:rsidRPr="00271F9D">
              <w:rPr>
                <w:rFonts w:ascii="Arial" w:hAnsi="Arial" w:cs="Arial"/>
                <w:sz w:val="20"/>
                <w:szCs w:val="20"/>
              </w:rPr>
              <w:t xml:space="preserve"> (klientai, visuomenė, darbuotojai, profesinės sąjungos, partneriai, kreditoriai, akcininkai, investuotojai, nuomonės formuotojai, žiniasklaida ir kt.).</w:t>
            </w:r>
          </w:p>
        </w:tc>
      </w:tr>
    </w:tbl>
    <w:p w14:paraId="6318B1FF" w14:textId="77777777" w:rsidR="00081891" w:rsidRPr="00271F9D" w:rsidRDefault="00E25D37" w:rsidP="00356A27">
      <w:pPr>
        <w:pStyle w:val="ListParagraph"/>
        <w:numPr>
          <w:ilvl w:val="0"/>
          <w:numId w:val="1"/>
        </w:numPr>
        <w:tabs>
          <w:tab w:val="left" w:pos="426"/>
        </w:tabs>
        <w:spacing w:before="240" w:after="240" w:line="240" w:lineRule="auto"/>
        <w:ind w:left="0" w:firstLine="0"/>
        <w:contextualSpacing w:val="0"/>
        <w:jc w:val="both"/>
        <w:rPr>
          <w:rFonts w:ascii="Arial" w:hAnsi="Arial" w:cs="Arial"/>
          <w:b/>
          <w:caps/>
          <w:sz w:val="20"/>
          <w:szCs w:val="20"/>
        </w:rPr>
      </w:pPr>
      <w:r w:rsidRPr="00271F9D">
        <w:rPr>
          <w:rFonts w:ascii="Arial" w:hAnsi="Arial" w:cs="Arial"/>
          <w:b/>
          <w:caps/>
          <w:sz w:val="20"/>
          <w:szCs w:val="20"/>
        </w:rPr>
        <w:t>Bendrosios nuostatos</w:t>
      </w:r>
    </w:p>
    <w:p w14:paraId="45717621" w14:textId="77777777" w:rsidR="00940379" w:rsidRPr="00271F9D" w:rsidRDefault="00940379" w:rsidP="00491963">
      <w:pPr>
        <w:pStyle w:val="ListParagraph"/>
        <w:numPr>
          <w:ilvl w:val="1"/>
          <w:numId w:val="1"/>
        </w:numPr>
        <w:tabs>
          <w:tab w:val="left" w:pos="567"/>
        </w:tabs>
        <w:spacing w:before="240" w:after="240" w:line="240" w:lineRule="auto"/>
        <w:ind w:left="0" w:firstLine="0"/>
        <w:contextualSpacing w:val="0"/>
        <w:jc w:val="both"/>
        <w:rPr>
          <w:rFonts w:ascii="Arial" w:hAnsi="Arial" w:cs="Arial"/>
          <w:b/>
          <w:sz w:val="20"/>
          <w:szCs w:val="20"/>
        </w:rPr>
      </w:pPr>
      <w:r w:rsidRPr="00271F9D">
        <w:rPr>
          <w:rFonts w:ascii="Arial" w:hAnsi="Arial" w:cs="Arial"/>
          <w:b/>
          <w:sz w:val="20"/>
          <w:szCs w:val="20"/>
        </w:rPr>
        <w:t>Reguliavimo sritis</w:t>
      </w:r>
    </w:p>
    <w:bookmarkEnd w:id="0"/>
    <w:p w14:paraId="19D83290" w14:textId="58E5C373" w:rsidR="004F169A" w:rsidRPr="00271F9D" w:rsidRDefault="00A964A0" w:rsidP="000070E5">
      <w:pPr>
        <w:pStyle w:val="ListParagraph"/>
        <w:numPr>
          <w:ilvl w:val="1"/>
          <w:numId w:val="6"/>
        </w:numPr>
        <w:tabs>
          <w:tab w:val="left" w:pos="284"/>
          <w:tab w:val="left" w:pos="426"/>
          <w:tab w:val="left" w:pos="1134"/>
        </w:tabs>
        <w:spacing w:before="120" w:after="0" w:line="240" w:lineRule="auto"/>
        <w:ind w:left="0" w:firstLine="0"/>
        <w:contextualSpacing w:val="0"/>
        <w:jc w:val="both"/>
        <w:rPr>
          <w:rFonts w:ascii="Arial" w:eastAsia="Times New Roman" w:hAnsi="Arial" w:cs="Arial"/>
          <w:sz w:val="20"/>
          <w:szCs w:val="20"/>
          <w:lang w:eastAsia="lt-LT"/>
        </w:rPr>
      </w:pPr>
      <w:r w:rsidRPr="00271F9D">
        <w:rPr>
          <w:rFonts w:ascii="Arial" w:hAnsi="Arial" w:cs="Arial"/>
          <w:sz w:val="20"/>
          <w:szCs w:val="20"/>
        </w:rPr>
        <w:t xml:space="preserve">Politika </w:t>
      </w:r>
      <w:r w:rsidR="001D1F06" w:rsidRPr="00271F9D">
        <w:rPr>
          <w:rFonts w:ascii="Arial" w:hAnsi="Arial" w:cs="Arial"/>
          <w:sz w:val="20"/>
          <w:szCs w:val="20"/>
        </w:rPr>
        <w:t xml:space="preserve">parengta </w:t>
      </w:r>
      <w:r w:rsidR="004F169A" w:rsidRPr="00271F9D">
        <w:rPr>
          <w:rFonts w:ascii="Arial" w:eastAsia="Times New Roman" w:hAnsi="Arial" w:cs="Arial"/>
          <w:sz w:val="20"/>
          <w:szCs w:val="20"/>
          <w:lang w:eastAsia="lt-LT"/>
        </w:rPr>
        <w:t>vadovaujantis</w:t>
      </w:r>
      <w:r w:rsidR="004F169A" w:rsidRPr="00271F9D">
        <w:rPr>
          <w:rFonts w:ascii="Arial" w:hAnsi="Arial" w:cs="Arial"/>
          <w:sz w:val="20"/>
          <w:szCs w:val="20"/>
        </w:rPr>
        <w:t xml:space="preserve"> </w:t>
      </w:r>
      <w:r w:rsidR="001D1F06" w:rsidRPr="00271F9D">
        <w:rPr>
          <w:rFonts w:ascii="Arial" w:hAnsi="Arial" w:cs="Arial"/>
          <w:sz w:val="20"/>
          <w:szCs w:val="20"/>
        </w:rPr>
        <w:t xml:space="preserve">į </w:t>
      </w:r>
      <w:r w:rsidR="00563A63" w:rsidRPr="00271F9D">
        <w:rPr>
          <w:rFonts w:ascii="Arial" w:eastAsiaTheme="majorEastAsia" w:hAnsi="Arial" w:cs="Arial"/>
          <w:i/>
          <w:iCs/>
          <w:sz w:val="20"/>
          <w:szCs w:val="20"/>
        </w:rPr>
        <w:t>ISO 31000:2018 Rizikos valdymas. Gairės</w:t>
      </w:r>
      <w:r w:rsidR="00563A63" w:rsidRPr="00271F9D">
        <w:rPr>
          <w:rFonts w:ascii="Arial" w:eastAsiaTheme="majorEastAsia" w:hAnsi="Arial" w:cs="Arial"/>
          <w:sz w:val="20"/>
          <w:szCs w:val="20"/>
        </w:rPr>
        <w:t xml:space="preserve"> ir </w:t>
      </w:r>
      <w:r w:rsidR="00563A63" w:rsidRPr="00271F9D">
        <w:rPr>
          <w:rFonts w:ascii="Arial" w:eastAsiaTheme="majorEastAsia" w:hAnsi="Arial" w:cs="Arial"/>
          <w:i/>
          <w:iCs/>
          <w:sz w:val="20"/>
          <w:szCs w:val="20"/>
        </w:rPr>
        <w:t>ISO 73:2009 Rizikos valdymas. Aiškinamasis žodynas</w:t>
      </w:r>
      <w:r w:rsidR="00563A63" w:rsidRPr="00271F9D">
        <w:rPr>
          <w:rFonts w:ascii="Arial" w:eastAsiaTheme="majorEastAsia" w:hAnsi="Arial" w:cs="Arial"/>
          <w:sz w:val="20"/>
          <w:szCs w:val="20"/>
        </w:rPr>
        <w:t xml:space="preserve"> standart</w:t>
      </w:r>
      <w:r w:rsidR="004F169A" w:rsidRPr="00271F9D">
        <w:rPr>
          <w:rFonts w:ascii="Arial" w:eastAsiaTheme="majorEastAsia" w:hAnsi="Arial" w:cs="Arial"/>
          <w:sz w:val="20"/>
          <w:szCs w:val="20"/>
        </w:rPr>
        <w:t>ais.</w:t>
      </w:r>
      <w:r w:rsidR="00104B6D" w:rsidRPr="00271F9D">
        <w:rPr>
          <w:rFonts w:ascii="Arial" w:eastAsiaTheme="majorEastAsia" w:hAnsi="Arial" w:cs="Arial"/>
          <w:sz w:val="20"/>
          <w:szCs w:val="20"/>
        </w:rPr>
        <w:t xml:space="preserve"> </w:t>
      </w:r>
    </w:p>
    <w:p w14:paraId="2EF9418F" w14:textId="2B54DFC5" w:rsidR="00491963" w:rsidRPr="00271F9D" w:rsidRDefault="00491963" w:rsidP="00491963">
      <w:pPr>
        <w:pStyle w:val="ListParagraph"/>
        <w:tabs>
          <w:tab w:val="left" w:pos="284"/>
          <w:tab w:val="left" w:pos="426"/>
          <w:tab w:val="left" w:pos="1134"/>
        </w:tabs>
        <w:spacing w:before="240" w:after="240" w:line="240" w:lineRule="auto"/>
        <w:ind w:left="0"/>
        <w:contextualSpacing w:val="0"/>
        <w:jc w:val="both"/>
        <w:rPr>
          <w:rFonts w:ascii="Arial" w:hAnsi="Arial" w:cs="Arial"/>
          <w:b/>
          <w:bCs/>
          <w:sz w:val="20"/>
          <w:szCs w:val="20"/>
        </w:rPr>
      </w:pPr>
    </w:p>
    <w:p w14:paraId="1646341C" w14:textId="6C8612EF" w:rsidR="00195E8A" w:rsidRPr="00271F9D" w:rsidRDefault="004F7812" w:rsidP="00036ED8">
      <w:pPr>
        <w:pStyle w:val="ListParagraph"/>
        <w:numPr>
          <w:ilvl w:val="1"/>
          <w:numId w:val="6"/>
        </w:numPr>
        <w:tabs>
          <w:tab w:val="left" w:pos="284"/>
          <w:tab w:val="left" w:pos="426"/>
          <w:tab w:val="left" w:pos="1134"/>
        </w:tabs>
        <w:spacing w:before="240" w:after="240" w:line="240" w:lineRule="auto"/>
        <w:ind w:left="0" w:firstLine="0"/>
        <w:contextualSpacing w:val="0"/>
        <w:jc w:val="both"/>
        <w:rPr>
          <w:rFonts w:ascii="Arial" w:hAnsi="Arial" w:cs="Arial"/>
          <w:b/>
          <w:bCs/>
          <w:sz w:val="20"/>
          <w:szCs w:val="20"/>
        </w:rPr>
      </w:pPr>
      <w:r w:rsidRPr="00271F9D">
        <w:rPr>
          <w:rFonts w:ascii="Arial" w:hAnsi="Arial" w:cs="Arial"/>
          <w:b/>
          <w:bCs/>
          <w:sz w:val="20"/>
          <w:szCs w:val="20"/>
        </w:rPr>
        <w:lastRenderedPageBreak/>
        <w:t>P</w:t>
      </w:r>
      <w:r w:rsidR="00195E8A" w:rsidRPr="00271F9D">
        <w:rPr>
          <w:rFonts w:ascii="Arial" w:hAnsi="Arial" w:cs="Arial"/>
          <w:b/>
          <w:bCs/>
          <w:sz w:val="20"/>
          <w:szCs w:val="20"/>
        </w:rPr>
        <w:t>olitikos tikslai</w:t>
      </w:r>
      <w:r w:rsidR="004F169A" w:rsidRPr="00271F9D">
        <w:rPr>
          <w:rFonts w:ascii="Arial" w:hAnsi="Arial" w:cs="Arial"/>
          <w:b/>
          <w:bCs/>
          <w:sz w:val="20"/>
          <w:szCs w:val="20"/>
        </w:rPr>
        <w:t>:</w:t>
      </w:r>
    </w:p>
    <w:p w14:paraId="68B95B4B" w14:textId="29F04B67" w:rsidR="00BF274D" w:rsidRPr="00271F9D" w:rsidRDefault="00195E8A" w:rsidP="000070E5">
      <w:pPr>
        <w:pStyle w:val="ListParagraph"/>
        <w:numPr>
          <w:ilvl w:val="2"/>
          <w:numId w:val="6"/>
        </w:numPr>
        <w:tabs>
          <w:tab w:val="left" w:pos="284"/>
          <w:tab w:val="left" w:pos="567"/>
          <w:tab w:val="left" w:pos="993"/>
          <w:tab w:val="left" w:pos="1701"/>
        </w:tabs>
        <w:spacing w:after="0" w:line="240" w:lineRule="auto"/>
        <w:ind w:left="0" w:firstLine="0"/>
        <w:jc w:val="both"/>
        <w:rPr>
          <w:rFonts w:ascii="Arial" w:eastAsia="Times New Roman" w:hAnsi="Arial" w:cs="Arial"/>
          <w:sz w:val="20"/>
          <w:szCs w:val="20"/>
          <w:lang w:eastAsia="lt-LT"/>
        </w:rPr>
      </w:pPr>
      <w:r w:rsidRPr="00271F9D">
        <w:rPr>
          <w:rFonts w:ascii="Arial" w:hAnsi="Arial" w:cs="Arial"/>
          <w:sz w:val="20"/>
          <w:szCs w:val="20"/>
        </w:rPr>
        <w:t>užtikrinti Bendrovės strateginių tikslų pasiekimą;</w:t>
      </w:r>
      <w:r w:rsidR="00295C35" w:rsidRPr="00271F9D">
        <w:rPr>
          <w:rFonts w:ascii="Arial" w:eastAsia="Times New Roman" w:hAnsi="Arial" w:cs="Arial"/>
          <w:sz w:val="20"/>
          <w:szCs w:val="20"/>
          <w:lang w:eastAsia="lt-LT"/>
        </w:rPr>
        <w:t xml:space="preserve"> </w:t>
      </w:r>
    </w:p>
    <w:p w14:paraId="401896F9" w14:textId="77777777" w:rsidR="00BF274D" w:rsidRPr="00271F9D" w:rsidRDefault="00195E8A" w:rsidP="000070E5">
      <w:pPr>
        <w:pStyle w:val="ListParagraph"/>
        <w:numPr>
          <w:ilvl w:val="2"/>
          <w:numId w:val="6"/>
        </w:numPr>
        <w:tabs>
          <w:tab w:val="left" w:pos="284"/>
          <w:tab w:val="left" w:pos="567"/>
          <w:tab w:val="left" w:pos="993"/>
          <w:tab w:val="left" w:pos="1701"/>
        </w:tabs>
        <w:spacing w:after="0" w:line="240" w:lineRule="auto"/>
        <w:ind w:left="0" w:firstLine="0"/>
        <w:jc w:val="both"/>
        <w:rPr>
          <w:rFonts w:ascii="Arial" w:hAnsi="Arial" w:cs="Arial"/>
          <w:sz w:val="20"/>
          <w:szCs w:val="20"/>
        </w:rPr>
      </w:pPr>
      <w:r w:rsidRPr="00271F9D">
        <w:rPr>
          <w:rFonts w:ascii="Arial" w:hAnsi="Arial" w:cs="Arial"/>
          <w:sz w:val="20"/>
          <w:szCs w:val="20"/>
        </w:rPr>
        <w:t>gerinti veiklos efektyvumą ir valdymo kokybę;</w:t>
      </w:r>
    </w:p>
    <w:p w14:paraId="1454A765" w14:textId="0EA690C1" w:rsidR="00BF274D" w:rsidRPr="00271F9D" w:rsidRDefault="00195E8A" w:rsidP="000070E5">
      <w:pPr>
        <w:pStyle w:val="ListParagraph"/>
        <w:numPr>
          <w:ilvl w:val="2"/>
          <w:numId w:val="6"/>
        </w:numPr>
        <w:tabs>
          <w:tab w:val="left" w:pos="284"/>
          <w:tab w:val="left" w:pos="567"/>
          <w:tab w:val="left" w:pos="993"/>
          <w:tab w:val="left" w:pos="1701"/>
        </w:tabs>
        <w:spacing w:after="0" w:line="240" w:lineRule="auto"/>
        <w:ind w:left="0" w:firstLine="0"/>
        <w:jc w:val="both"/>
        <w:rPr>
          <w:rFonts w:ascii="Arial" w:hAnsi="Arial" w:cs="Arial"/>
          <w:sz w:val="20"/>
          <w:szCs w:val="20"/>
        </w:rPr>
      </w:pPr>
      <w:r w:rsidRPr="00271F9D">
        <w:rPr>
          <w:rFonts w:ascii="Arial" w:hAnsi="Arial" w:cs="Arial"/>
          <w:sz w:val="20"/>
          <w:szCs w:val="20"/>
        </w:rPr>
        <w:t>užtikrinti saugią darbo aplinką</w:t>
      </w:r>
      <w:r w:rsidR="00BF274D" w:rsidRPr="00271F9D">
        <w:rPr>
          <w:rFonts w:ascii="Arial" w:hAnsi="Arial" w:cs="Arial"/>
          <w:sz w:val="20"/>
          <w:szCs w:val="20"/>
        </w:rPr>
        <w:t>;</w:t>
      </w:r>
    </w:p>
    <w:p w14:paraId="36C34BFE" w14:textId="77777777" w:rsidR="00BF274D" w:rsidRPr="00271F9D" w:rsidRDefault="00195E8A" w:rsidP="000070E5">
      <w:pPr>
        <w:pStyle w:val="ListParagraph"/>
        <w:numPr>
          <w:ilvl w:val="2"/>
          <w:numId w:val="6"/>
        </w:numPr>
        <w:tabs>
          <w:tab w:val="left" w:pos="284"/>
          <w:tab w:val="left" w:pos="567"/>
          <w:tab w:val="left" w:pos="993"/>
          <w:tab w:val="left" w:pos="1701"/>
        </w:tabs>
        <w:spacing w:after="0" w:line="240" w:lineRule="auto"/>
        <w:ind w:left="0" w:firstLine="0"/>
        <w:jc w:val="both"/>
        <w:rPr>
          <w:rFonts w:ascii="Arial" w:hAnsi="Arial" w:cs="Arial"/>
          <w:sz w:val="20"/>
          <w:szCs w:val="20"/>
        </w:rPr>
      </w:pPr>
      <w:r w:rsidRPr="00271F9D">
        <w:rPr>
          <w:rFonts w:ascii="Arial" w:hAnsi="Arial" w:cs="Arial"/>
          <w:sz w:val="20"/>
          <w:szCs w:val="20"/>
        </w:rPr>
        <w:t>užtikrinti atitiktį teisės aktams ir suinteresuotųjų šalių lūkesčių išpildymą</w:t>
      </w:r>
      <w:r w:rsidR="00982A2B" w:rsidRPr="00271F9D">
        <w:rPr>
          <w:rFonts w:ascii="Arial" w:hAnsi="Arial" w:cs="Arial"/>
          <w:sz w:val="20"/>
          <w:szCs w:val="20"/>
        </w:rPr>
        <w:t>;</w:t>
      </w:r>
    </w:p>
    <w:p w14:paraId="6E88FF58" w14:textId="65EFACC1" w:rsidR="00195E8A" w:rsidRPr="00271F9D" w:rsidRDefault="00195E8A" w:rsidP="000070E5">
      <w:pPr>
        <w:pStyle w:val="ListParagraph"/>
        <w:numPr>
          <w:ilvl w:val="2"/>
          <w:numId w:val="6"/>
        </w:numPr>
        <w:tabs>
          <w:tab w:val="left" w:pos="284"/>
          <w:tab w:val="left" w:pos="567"/>
          <w:tab w:val="left" w:pos="993"/>
          <w:tab w:val="left" w:pos="1701"/>
        </w:tabs>
        <w:spacing w:after="0" w:line="240" w:lineRule="auto"/>
        <w:ind w:left="0" w:firstLine="0"/>
        <w:jc w:val="both"/>
        <w:rPr>
          <w:rFonts w:ascii="Arial" w:hAnsi="Arial" w:cs="Arial"/>
          <w:sz w:val="20"/>
          <w:szCs w:val="20"/>
        </w:rPr>
      </w:pPr>
      <w:r w:rsidRPr="00271F9D">
        <w:rPr>
          <w:rFonts w:ascii="Arial" w:hAnsi="Arial" w:cs="Arial"/>
          <w:sz w:val="20"/>
          <w:szCs w:val="20"/>
        </w:rPr>
        <w:t>užtikrinti Bendrovės teikiamų paslaugų kokybę.</w:t>
      </w:r>
    </w:p>
    <w:p w14:paraId="430C71B1" w14:textId="544D7347" w:rsidR="00195E8A" w:rsidRPr="00271F9D" w:rsidRDefault="004F7812" w:rsidP="00491963">
      <w:pPr>
        <w:pStyle w:val="ListParagraph"/>
        <w:numPr>
          <w:ilvl w:val="1"/>
          <w:numId w:val="6"/>
        </w:numPr>
        <w:tabs>
          <w:tab w:val="left" w:pos="567"/>
        </w:tabs>
        <w:spacing w:before="240" w:after="240" w:line="240" w:lineRule="auto"/>
        <w:ind w:left="0" w:firstLine="0"/>
        <w:contextualSpacing w:val="0"/>
        <w:jc w:val="both"/>
        <w:rPr>
          <w:rFonts w:ascii="Arial" w:hAnsi="Arial" w:cs="Arial"/>
          <w:b/>
          <w:sz w:val="20"/>
          <w:szCs w:val="20"/>
        </w:rPr>
      </w:pPr>
      <w:r w:rsidRPr="00271F9D">
        <w:rPr>
          <w:rFonts w:ascii="Arial" w:hAnsi="Arial" w:cs="Arial"/>
          <w:b/>
          <w:sz w:val="20"/>
          <w:szCs w:val="20"/>
        </w:rPr>
        <w:t>P</w:t>
      </w:r>
      <w:r w:rsidR="00195E8A" w:rsidRPr="00271F9D">
        <w:rPr>
          <w:rFonts w:ascii="Arial" w:hAnsi="Arial" w:cs="Arial"/>
          <w:b/>
          <w:sz w:val="20"/>
          <w:szCs w:val="20"/>
        </w:rPr>
        <w:t>olitikos taikymas</w:t>
      </w:r>
    </w:p>
    <w:p w14:paraId="4F727DB3" w14:textId="31374D39" w:rsidR="00CD0D01" w:rsidRPr="00271F9D" w:rsidRDefault="00CD0D01" w:rsidP="000070E5">
      <w:pPr>
        <w:pStyle w:val="ListParagraph"/>
        <w:numPr>
          <w:ilvl w:val="2"/>
          <w:numId w:val="6"/>
        </w:numPr>
        <w:tabs>
          <w:tab w:val="left" w:pos="567"/>
          <w:tab w:val="left" w:pos="720"/>
          <w:tab w:val="left" w:pos="993"/>
        </w:tabs>
        <w:spacing w:after="0" w:line="240" w:lineRule="auto"/>
        <w:ind w:left="0" w:firstLine="0"/>
        <w:jc w:val="both"/>
        <w:rPr>
          <w:rFonts w:ascii="Arial" w:hAnsi="Arial" w:cs="Arial"/>
          <w:sz w:val="20"/>
          <w:szCs w:val="20"/>
        </w:rPr>
      </w:pPr>
      <w:r w:rsidRPr="00271F9D">
        <w:rPr>
          <w:rFonts w:ascii="Arial" w:hAnsi="Arial" w:cs="Arial"/>
          <w:sz w:val="20"/>
          <w:szCs w:val="20"/>
        </w:rPr>
        <w:t>Politika ir ją įgyvendinantys Bendrovės vidaus dokumentai yra aktualūs ir taikomi visiems Bendrovės darbuotojams.</w:t>
      </w:r>
    </w:p>
    <w:p w14:paraId="764D132A" w14:textId="76C773C9" w:rsidR="00AF18FF" w:rsidRPr="00271F9D" w:rsidRDefault="00AF18FF" w:rsidP="000070E5">
      <w:pPr>
        <w:pStyle w:val="ListParagraph"/>
        <w:numPr>
          <w:ilvl w:val="2"/>
          <w:numId w:val="6"/>
        </w:numPr>
        <w:tabs>
          <w:tab w:val="left" w:pos="567"/>
          <w:tab w:val="left" w:pos="1134"/>
        </w:tabs>
        <w:spacing w:after="0"/>
        <w:ind w:left="0" w:firstLine="0"/>
        <w:jc w:val="both"/>
        <w:rPr>
          <w:rFonts w:ascii="Arial" w:hAnsi="Arial" w:cs="Arial"/>
          <w:sz w:val="20"/>
          <w:szCs w:val="20"/>
        </w:rPr>
      </w:pPr>
      <w:r w:rsidRPr="00271F9D">
        <w:rPr>
          <w:rFonts w:ascii="Arial" w:eastAsia="Times New Roman" w:hAnsi="Arial" w:cs="Arial"/>
          <w:sz w:val="20"/>
          <w:szCs w:val="20"/>
          <w:lang w:eastAsia="lt-LT"/>
        </w:rPr>
        <w:t>Politika yra nustatoma rizikos valdymo Bendrovėje strategija</w:t>
      </w:r>
      <w:r w:rsidR="00104B6D" w:rsidRPr="00271F9D">
        <w:rPr>
          <w:rFonts w:ascii="Arial" w:eastAsia="Times New Roman" w:hAnsi="Arial" w:cs="Arial"/>
          <w:sz w:val="20"/>
          <w:szCs w:val="20"/>
          <w:lang w:eastAsia="lt-LT"/>
        </w:rPr>
        <w:t xml:space="preserve">, </w:t>
      </w:r>
      <w:r w:rsidR="00104B6D" w:rsidRPr="00271F9D">
        <w:rPr>
          <w:rFonts w:ascii="Arial" w:eastAsiaTheme="majorEastAsia" w:hAnsi="Arial" w:cs="Arial"/>
          <w:sz w:val="20"/>
          <w:szCs w:val="20"/>
        </w:rPr>
        <w:t xml:space="preserve">taikoma </w:t>
      </w:r>
      <w:r w:rsidR="00104B6D" w:rsidRPr="00271F9D">
        <w:rPr>
          <w:rFonts w:ascii="Arial" w:eastAsia="Times New Roman" w:hAnsi="Arial" w:cs="Arial"/>
          <w:sz w:val="20"/>
          <w:szCs w:val="20"/>
          <w:lang w:eastAsia="lt-LT"/>
        </w:rPr>
        <w:t>Bendrovės visų rizikų valdymui</w:t>
      </w:r>
      <w:r w:rsidRPr="00271F9D">
        <w:rPr>
          <w:rFonts w:ascii="Arial" w:eastAsia="Times New Roman" w:hAnsi="Arial" w:cs="Arial"/>
          <w:sz w:val="20"/>
          <w:szCs w:val="20"/>
          <w:lang w:eastAsia="lt-LT"/>
        </w:rPr>
        <w:t>.</w:t>
      </w:r>
    </w:p>
    <w:p w14:paraId="05E53BFB" w14:textId="77777777" w:rsidR="00195E8A" w:rsidRPr="00271F9D" w:rsidRDefault="00671556" w:rsidP="00491963">
      <w:pPr>
        <w:pStyle w:val="ListParagraph"/>
        <w:numPr>
          <w:ilvl w:val="1"/>
          <w:numId w:val="6"/>
        </w:numPr>
        <w:tabs>
          <w:tab w:val="left" w:pos="567"/>
        </w:tabs>
        <w:spacing w:before="240" w:after="240" w:line="240" w:lineRule="auto"/>
        <w:ind w:left="0" w:firstLine="0"/>
        <w:contextualSpacing w:val="0"/>
        <w:jc w:val="both"/>
        <w:rPr>
          <w:rFonts w:ascii="Arial" w:hAnsi="Arial" w:cs="Arial"/>
          <w:b/>
          <w:sz w:val="20"/>
          <w:szCs w:val="20"/>
        </w:rPr>
      </w:pPr>
      <w:r w:rsidRPr="00271F9D">
        <w:rPr>
          <w:rFonts w:ascii="Arial" w:hAnsi="Arial" w:cs="Arial"/>
          <w:b/>
          <w:sz w:val="20"/>
          <w:szCs w:val="20"/>
        </w:rPr>
        <w:t>P</w:t>
      </w:r>
      <w:r w:rsidR="00195E8A" w:rsidRPr="00271F9D">
        <w:rPr>
          <w:rFonts w:ascii="Arial" w:hAnsi="Arial" w:cs="Arial"/>
          <w:b/>
          <w:sz w:val="20"/>
          <w:szCs w:val="20"/>
        </w:rPr>
        <w:t>olitikos viešinimas</w:t>
      </w:r>
    </w:p>
    <w:p w14:paraId="463ABA44" w14:textId="2A7BF4E3" w:rsidR="00CD0D01" w:rsidRPr="00271F9D" w:rsidRDefault="00CD0D01" w:rsidP="000070E5">
      <w:pPr>
        <w:pStyle w:val="ListParagraph"/>
        <w:numPr>
          <w:ilvl w:val="2"/>
          <w:numId w:val="6"/>
        </w:numPr>
        <w:tabs>
          <w:tab w:val="left" w:pos="567"/>
          <w:tab w:val="left" w:pos="851"/>
          <w:tab w:val="left" w:pos="993"/>
        </w:tabs>
        <w:spacing w:after="0" w:line="240" w:lineRule="auto"/>
        <w:ind w:left="0" w:firstLine="0"/>
        <w:jc w:val="both"/>
        <w:rPr>
          <w:rFonts w:ascii="Arial" w:hAnsi="Arial" w:cs="Arial"/>
          <w:sz w:val="20"/>
        </w:rPr>
      </w:pPr>
      <w:r w:rsidRPr="00271F9D">
        <w:rPr>
          <w:rFonts w:ascii="Arial" w:hAnsi="Arial" w:cs="Arial"/>
          <w:sz w:val="20"/>
          <w:szCs w:val="20"/>
        </w:rPr>
        <w:t xml:space="preserve">Politika yra skelbiama Bendrovės dokumentų valdymo sistemoje ir prieinama visiems darbuotojams bei Bendrovės interneto puslapyje </w:t>
      </w:r>
      <w:hyperlink r:id="rId11" w:history="1">
        <w:r w:rsidRPr="00271F9D">
          <w:rPr>
            <w:rStyle w:val="Hyperlink"/>
            <w:rFonts w:ascii="Arial" w:hAnsi="Arial" w:cs="Arial"/>
            <w:sz w:val="20"/>
            <w:szCs w:val="20"/>
          </w:rPr>
          <w:t>www.lietuvospastas.lt</w:t>
        </w:r>
      </w:hyperlink>
      <w:r w:rsidRPr="00271F9D">
        <w:rPr>
          <w:rFonts w:ascii="Arial" w:hAnsi="Arial" w:cs="Arial"/>
          <w:sz w:val="20"/>
          <w:szCs w:val="20"/>
        </w:rPr>
        <w:t>.</w:t>
      </w:r>
    </w:p>
    <w:p w14:paraId="56089160" w14:textId="0C6DE3EA" w:rsidR="00087547" w:rsidRPr="00271F9D" w:rsidRDefault="00671556" w:rsidP="00491963">
      <w:pPr>
        <w:pStyle w:val="ListParagraph"/>
        <w:numPr>
          <w:ilvl w:val="1"/>
          <w:numId w:val="6"/>
        </w:numPr>
        <w:tabs>
          <w:tab w:val="left" w:pos="142"/>
          <w:tab w:val="left" w:pos="567"/>
        </w:tabs>
        <w:spacing w:before="240" w:after="240" w:line="240" w:lineRule="auto"/>
        <w:ind w:left="0" w:firstLine="0"/>
        <w:contextualSpacing w:val="0"/>
        <w:jc w:val="both"/>
        <w:rPr>
          <w:rFonts w:ascii="Arial" w:hAnsi="Arial" w:cs="Arial"/>
          <w:b/>
          <w:sz w:val="20"/>
          <w:szCs w:val="20"/>
        </w:rPr>
      </w:pPr>
      <w:r w:rsidRPr="00271F9D">
        <w:rPr>
          <w:rFonts w:ascii="Arial" w:hAnsi="Arial" w:cs="Arial"/>
          <w:b/>
          <w:sz w:val="20"/>
          <w:szCs w:val="20"/>
        </w:rPr>
        <w:t>P</w:t>
      </w:r>
      <w:r w:rsidR="00087547" w:rsidRPr="00271F9D">
        <w:rPr>
          <w:rFonts w:ascii="Arial" w:hAnsi="Arial" w:cs="Arial"/>
          <w:b/>
          <w:sz w:val="20"/>
          <w:szCs w:val="20"/>
        </w:rPr>
        <w:t>olitikos sudarymas ir keitimas</w:t>
      </w:r>
    </w:p>
    <w:p w14:paraId="21BE0571" w14:textId="018809B1" w:rsidR="00A0752D" w:rsidRPr="00271F9D" w:rsidRDefault="00A0752D" w:rsidP="000070E5">
      <w:pPr>
        <w:pStyle w:val="ListParagraph"/>
        <w:numPr>
          <w:ilvl w:val="2"/>
          <w:numId w:val="6"/>
        </w:numPr>
        <w:tabs>
          <w:tab w:val="left" w:pos="567"/>
          <w:tab w:val="left" w:pos="1134"/>
        </w:tabs>
        <w:ind w:left="0" w:firstLine="0"/>
        <w:jc w:val="both"/>
        <w:rPr>
          <w:rFonts w:ascii="Arial" w:hAnsi="Arial" w:cs="Arial"/>
          <w:sz w:val="20"/>
          <w:szCs w:val="20"/>
        </w:rPr>
      </w:pPr>
      <w:r w:rsidRPr="00271F9D">
        <w:rPr>
          <w:rFonts w:ascii="Arial" w:hAnsi="Arial" w:cs="Arial"/>
          <w:sz w:val="20"/>
          <w:szCs w:val="20"/>
        </w:rPr>
        <w:t xml:space="preserve">Politiką rengia, reguliariai peržiūri ir, jei reikalinga, atnaujina </w:t>
      </w:r>
      <w:r w:rsidR="00731F46" w:rsidRPr="00271F9D">
        <w:rPr>
          <w:rFonts w:ascii="Arial" w:hAnsi="Arial" w:cs="Arial"/>
          <w:sz w:val="20"/>
          <w:szCs w:val="20"/>
        </w:rPr>
        <w:t>Rizikų vadovas</w:t>
      </w:r>
      <w:r w:rsidRPr="00271F9D">
        <w:rPr>
          <w:rFonts w:ascii="Arial" w:hAnsi="Arial" w:cs="Arial"/>
          <w:sz w:val="20"/>
          <w:szCs w:val="20"/>
        </w:rPr>
        <w:t>. Šią politiką tvirtina Bendrovės valdyba.</w:t>
      </w:r>
    </w:p>
    <w:p w14:paraId="4718A076" w14:textId="5AE888E4" w:rsidR="00940379" w:rsidRPr="00271F9D" w:rsidRDefault="00624394" w:rsidP="00491963">
      <w:pPr>
        <w:pStyle w:val="Heading1"/>
        <w:numPr>
          <w:ilvl w:val="0"/>
          <w:numId w:val="8"/>
        </w:numPr>
        <w:tabs>
          <w:tab w:val="left" w:pos="284"/>
          <w:tab w:val="left" w:pos="426"/>
        </w:tabs>
        <w:spacing w:after="240" w:line="240" w:lineRule="auto"/>
        <w:rPr>
          <w:rFonts w:ascii="Arial" w:hAnsi="Arial" w:cs="Arial"/>
          <w:b/>
          <w:bCs/>
          <w:color w:val="auto"/>
          <w:sz w:val="20"/>
          <w:szCs w:val="20"/>
        </w:rPr>
      </w:pPr>
      <w:r w:rsidRPr="00271F9D">
        <w:rPr>
          <w:rFonts w:ascii="Arial" w:hAnsi="Arial" w:cs="Arial"/>
          <w:b/>
          <w:bCs/>
          <w:color w:val="auto"/>
          <w:sz w:val="20"/>
          <w:szCs w:val="20"/>
        </w:rPr>
        <w:t>RIZIKOS VALDYMO PRINCIPAI</w:t>
      </w:r>
    </w:p>
    <w:p w14:paraId="7E44D9E9" w14:textId="319B5D50" w:rsidR="008770F7" w:rsidRPr="00271F9D" w:rsidRDefault="00B434E5" w:rsidP="00491963">
      <w:pPr>
        <w:pStyle w:val="ListParagraph"/>
        <w:numPr>
          <w:ilvl w:val="1"/>
          <w:numId w:val="8"/>
        </w:numPr>
        <w:tabs>
          <w:tab w:val="left" w:pos="567"/>
        </w:tabs>
        <w:spacing w:before="240" w:after="240" w:line="240" w:lineRule="auto"/>
        <w:ind w:left="0" w:firstLine="0"/>
        <w:contextualSpacing w:val="0"/>
        <w:jc w:val="both"/>
        <w:rPr>
          <w:rFonts w:ascii="Arial" w:hAnsi="Arial" w:cs="Arial"/>
          <w:b/>
          <w:sz w:val="20"/>
        </w:rPr>
      </w:pPr>
      <w:r w:rsidRPr="00271F9D">
        <w:rPr>
          <w:rFonts w:ascii="Arial" w:hAnsi="Arial" w:cs="Arial"/>
          <w:b/>
          <w:bCs/>
          <w:sz w:val="20"/>
          <w:szCs w:val="20"/>
        </w:rPr>
        <w:t>Rizikos</w:t>
      </w:r>
      <w:r w:rsidRPr="00271F9D">
        <w:rPr>
          <w:rFonts w:ascii="Arial" w:hAnsi="Arial" w:cs="Arial"/>
          <w:b/>
          <w:sz w:val="20"/>
        </w:rPr>
        <w:t xml:space="preserve"> valdymo principai</w:t>
      </w:r>
      <w:r w:rsidRPr="00271F9D">
        <w:rPr>
          <w:rFonts w:ascii="Arial" w:hAnsi="Arial" w:cs="Arial"/>
          <w:b/>
          <w:bCs/>
          <w:sz w:val="20"/>
          <w:szCs w:val="20"/>
        </w:rPr>
        <w:t>:</w:t>
      </w:r>
    </w:p>
    <w:p w14:paraId="51DC7188" w14:textId="25D87882" w:rsidR="00087547" w:rsidRPr="00271F9D" w:rsidRDefault="00087547" w:rsidP="000070E5">
      <w:pPr>
        <w:pStyle w:val="ListParagraph"/>
        <w:numPr>
          <w:ilvl w:val="2"/>
          <w:numId w:val="8"/>
        </w:numPr>
        <w:tabs>
          <w:tab w:val="left" w:pos="567"/>
          <w:tab w:val="left" w:pos="993"/>
        </w:tabs>
        <w:spacing w:after="0" w:line="240" w:lineRule="auto"/>
        <w:ind w:left="0" w:firstLine="0"/>
        <w:contextualSpacing w:val="0"/>
        <w:jc w:val="both"/>
        <w:rPr>
          <w:rFonts w:ascii="Arial" w:hAnsi="Arial" w:cs="Arial"/>
          <w:sz w:val="20"/>
          <w:szCs w:val="20"/>
        </w:rPr>
      </w:pPr>
      <w:r w:rsidRPr="00271F9D">
        <w:rPr>
          <w:rFonts w:ascii="Arial" w:hAnsi="Arial" w:cs="Arial"/>
          <w:b/>
          <w:sz w:val="20"/>
          <w:szCs w:val="20"/>
        </w:rPr>
        <w:t>Vertės kūrimas</w:t>
      </w:r>
      <w:r w:rsidR="00FE3E7E" w:rsidRPr="00271F9D">
        <w:rPr>
          <w:rFonts w:ascii="Arial" w:hAnsi="Arial" w:cs="Arial"/>
          <w:b/>
          <w:sz w:val="20"/>
          <w:szCs w:val="20"/>
        </w:rPr>
        <w:t xml:space="preserve"> ir saugojimas</w:t>
      </w:r>
      <w:r w:rsidRPr="00271F9D">
        <w:rPr>
          <w:rFonts w:ascii="Arial" w:hAnsi="Arial" w:cs="Arial"/>
          <w:sz w:val="20"/>
          <w:szCs w:val="20"/>
        </w:rPr>
        <w:t xml:space="preserve"> – </w:t>
      </w:r>
      <w:r w:rsidR="00680B0E" w:rsidRPr="00271F9D">
        <w:rPr>
          <w:rFonts w:ascii="Arial" w:hAnsi="Arial" w:cs="Arial"/>
          <w:sz w:val="20"/>
          <w:szCs w:val="20"/>
        </w:rPr>
        <w:t>r</w:t>
      </w:r>
      <w:r w:rsidRPr="00271F9D">
        <w:rPr>
          <w:rFonts w:ascii="Arial" w:hAnsi="Arial" w:cs="Arial"/>
          <w:sz w:val="20"/>
          <w:szCs w:val="20"/>
        </w:rPr>
        <w:t>izikos valdymas yra viena iš informacijos kaupimą, analizę, sprendimų priėmimą ir jų įgyvendinimą apimančių veiklų, kuria siekiama įgyvendinti Bendrovės strategiją, taip pat siekti veiklos efektyvumo, bei pasirengti galimiems nenumatytiems įvykiams, sumažinti jų tikimybę ir/ar poveikį.</w:t>
      </w:r>
    </w:p>
    <w:p w14:paraId="10FC4A0C" w14:textId="7C93E4D2" w:rsidR="00087547" w:rsidRPr="00271F9D" w:rsidRDefault="00087547" w:rsidP="000070E5">
      <w:pPr>
        <w:pStyle w:val="ListParagraph"/>
        <w:numPr>
          <w:ilvl w:val="2"/>
          <w:numId w:val="8"/>
        </w:numPr>
        <w:tabs>
          <w:tab w:val="left" w:pos="567"/>
          <w:tab w:val="left" w:pos="993"/>
        </w:tabs>
        <w:spacing w:after="0" w:line="240" w:lineRule="auto"/>
        <w:ind w:left="0" w:firstLine="0"/>
        <w:contextualSpacing w:val="0"/>
        <w:jc w:val="both"/>
        <w:rPr>
          <w:rFonts w:ascii="Arial" w:hAnsi="Arial" w:cs="Arial"/>
          <w:sz w:val="20"/>
          <w:szCs w:val="20"/>
        </w:rPr>
      </w:pPr>
      <w:r w:rsidRPr="00271F9D">
        <w:rPr>
          <w:rFonts w:ascii="Arial" w:hAnsi="Arial" w:cs="Arial"/>
          <w:b/>
          <w:sz w:val="20"/>
          <w:szCs w:val="20"/>
        </w:rPr>
        <w:t>Integralumas</w:t>
      </w:r>
      <w:r w:rsidRPr="00271F9D">
        <w:rPr>
          <w:rFonts w:ascii="Arial" w:hAnsi="Arial" w:cs="Arial"/>
          <w:sz w:val="20"/>
          <w:szCs w:val="20"/>
        </w:rPr>
        <w:t xml:space="preserve"> – </w:t>
      </w:r>
      <w:r w:rsidR="00680B0E" w:rsidRPr="00271F9D">
        <w:rPr>
          <w:rFonts w:ascii="Arial" w:hAnsi="Arial" w:cs="Arial"/>
          <w:sz w:val="20"/>
          <w:szCs w:val="20"/>
        </w:rPr>
        <w:t>r</w:t>
      </w:r>
      <w:r w:rsidRPr="00271F9D">
        <w:rPr>
          <w:rFonts w:ascii="Arial" w:hAnsi="Arial" w:cs="Arial"/>
          <w:sz w:val="20"/>
          <w:szCs w:val="20"/>
        </w:rPr>
        <w:t>izikos valdymas yra Bendrovės integrali veiklos valdymo, kontrolės ir planavimo bei pokyčių valdymo dalis. Rizikos valdymo tikslai bei veiksmai turi būti efektyvūs. Rizikos valdymo priemonėms skirtos lėšos turi būti paskirstytos racionaliai ir ekonomiškai pagrįstai. Rizikos valdymas padeda Bendrovės valdymo organams ir vadovams priimti informuotus sprendimus bei prioretizuoti veiksmus, įvertinant galimas alternatyvas ir jų pasekmes.</w:t>
      </w:r>
    </w:p>
    <w:p w14:paraId="39B16775" w14:textId="1CC80524" w:rsidR="00087547" w:rsidRPr="00271F9D" w:rsidRDefault="00087547" w:rsidP="000070E5">
      <w:pPr>
        <w:pStyle w:val="ListParagraph"/>
        <w:numPr>
          <w:ilvl w:val="2"/>
          <w:numId w:val="8"/>
        </w:numPr>
        <w:tabs>
          <w:tab w:val="left" w:pos="567"/>
          <w:tab w:val="left" w:pos="993"/>
        </w:tabs>
        <w:spacing w:after="0" w:line="240" w:lineRule="auto"/>
        <w:ind w:left="0" w:firstLine="0"/>
        <w:contextualSpacing w:val="0"/>
        <w:jc w:val="both"/>
        <w:rPr>
          <w:rFonts w:ascii="Arial" w:hAnsi="Arial" w:cs="Arial"/>
          <w:sz w:val="20"/>
          <w:szCs w:val="20"/>
        </w:rPr>
      </w:pPr>
      <w:r w:rsidRPr="00271F9D">
        <w:rPr>
          <w:rFonts w:ascii="Arial" w:hAnsi="Arial" w:cs="Arial"/>
          <w:b/>
          <w:sz w:val="20"/>
          <w:szCs w:val="20"/>
        </w:rPr>
        <w:t>Informacijos aktualumas ir patikimumas</w:t>
      </w:r>
      <w:r w:rsidRPr="00271F9D">
        <w:rPr>
          <w:rFonts w:ascii="Arial" w:hAnsi="Arial" w:cs="Arial"/>
          <w:sz w:val="20"/>
          <w:szCs w:val="20"/>
        </w:rPr>
        <w:t xml:space="preserve"> - </w:t>
      </w:r>
      <w:r w:rsidR="00680B0E" w:rsidRPr="00271F9D">
        <w:rPr>
          <w:rFonts w:ascii="Arial" w:hAnsi="Arial" w:cs="Arial"/>
          <w:sz w:val="20"/>
          <w:szCs w:val="20"/>
        </w:rPr>
        <w:t>r</w:t>
      </w:r>
      <w:r w:rsidRPr="00271F9D">
        <w:rPr>
          <w:rFonts w:ascii="Arial" w:hAnsi="Arial" w:cs="Arial"/>
          <w:sz w:val="20"/>
          <w:szCs w:val="20"/>
        </w:rPr>
        <w:t xml:space="preserve">izikos valdymas paremtas patikimais duomenimis, stebėjimu, patirtimi ir ekspertiniu vertinimu. </w:t>
      </w:r>
      <w:r w:rsidR="00FE3E7E" w:rsidRPr="00271F9D">
        <w:rPr>
          <w:rFonts w:ascii="Arial" w:hAnsi="Arial" w:cs="Arial"/>
          <w:sz w:val="20"/>
          <w:szCs w:val="20"/>
        </w:rPr>
        <w:t xml:space="preserve">Rizikos valdymas tinkamai ir laiku numato, atskleidžia, patvirtina rizikos pokyčius ir į juos reaguoja. </w:t>
      </w:r>
      <w:r w:rsidRPr="00271F9D">
        <w:rPr>
          <w:rFonts w:ascii="Arial" w:hAnsi="Arial" w:cs="Arial"/>
          <w:sz w:val="20"/>
          <w:szCs w:val="20"/>
        </w:rPr>
        <w:t>Rizikos valdymo veikla yra tinkamai dokumentuojama, dokumentacija saugoma.</w:t>
      </w:r>
    </w:p>
    <w:p w14:paraId="65DAB6B6" w14:textId="50BE4513" w:rsidR="00087547" w:rsidRPr="00271F9D" w:rsidRDefault="00FE3E7E" w:rsidP="000070E5">
      <w:pPr>
        <w:pStyle w:val="ListParagraph"/>
        <w:numPr>
          <w:ilvl w:val="2"/>
          <w:numId w:val="8"/>
        </w:numPr>
        <w:tabs>
          <w:tab w:val="left" w:pos="567"/>
          <w:tab w:val="left" w:pos="993"/>
        </w:tabs>
        <w:spacing w:after="0" w:line="240" w:lineRule="auto"/>
        <w:ind w:left="0" w:firstLine="0"/>
        <w:contextualSpacing w:val="0"/>
        <w:jc w:val="both"/>
        <w:rPr>
          <w:rFonts w:ascii="Arial" w:hAnsi="Arial" w:cs="Arial"/>
          <w:sz w:val="20"/>
          <w:szCs w:val="20"/>
        </w:rPr>
      </w:pPr>
      <w:r w:rsidRPr="00271F9D">
        <w:rPr>
          <w:rFonts w:ascii="Arial" w:hAnsi="Arial" w:cs="Arial"/>
          <w:b/>
          <w:sz w:val="20"/>
          <w:szCs w:val="20"/>
        </w:rPr>
        <w:t>Įtraukimas</w:t>
      </w:r>
      <w:r w:rsidRPr="00271F9D">
        <w:rPr>
          <w:rFonts w:ascii="Arial" w:hAnsi="Arial" w:cs="Arial"/>
          <w:sz w:val="20"/>
          <w:szCs w:val="20"/>
        </w:rPr>
        <w:t xml:space="preserve"> </w:t>
      </w:r>
      <w:r w:rsidR="00087547" w:rsidRPr="00271F9D">
        <w:rPr>
          <w:rFonts w:ascii="Arial" w:hAnsi="Arial" w:cs="Arial"/>
          <w:sz w:val="20"/>
          <w:szCs w:val="20"/>
        </w:rPr>
        <w:t xml:space="preserve">- Bendrovės valdymo organai, vadovai ir kiti atsakingi darbuotojai turi būti laiku ir tinkamai informuoti bei įtraukti į </w:t>
      </w:r>
      <w:r w:rsidR="00680B0E" w:rsidRPr="00271F9D">
        <w:rPr>
          <w:rFonts w:ascii="Arial" w:hAnsi="Arial" w:cs="Arial"/>
          <w:sz w:val="20"/>
          <w:szCs w:val="20"/>
        </w:rPr>
        <w:t>r</w:t>
      </w:r>
      <w:r w:rsidR="00087547" w:rsidRPr="00271F9D">
        <w:rPr>
          <w:rFonts w:ascii="Arial" w:hAnsi="Arial" w:cs="Arial"/>
          <w:sz w:val="20"/>
          <w:szCs w:val="20"/>
        </w:rPr>
        <w:t xml:space="preserve">izikos valdymą, užtikrinant </w:t>
      </w:r>
      <w:r w:rsidRPr="00271F9D">
        <w:rPr>
          <w:rFonts w:ascii="Arial" w:hAnsi="Arial" w:cs="Arial"/>
          <w:sz w:val="20"/>
          <w:szCs w:val="20"/>
        </w:rPr>
        <w:t xml:space="preserve">geresnį supratimą ir žinojimu pagrįstą rizikos valdymą, </w:t>
      </w:r>
      <w:r w:rsidR="00087547" w:rsidRPr="00271F9D">
        <w:rPr>
          <w:rFonts w:ascii="Arial" w:hAnsi="Arial" w:cs="Arial"/>
          <w:sz w:val="20"/>
          <w:szCs w:val="20"/>
        </w:rPr>
        <w:t>jo veiksmingumą ir naudingumą.</w:t>
      </w:r>
    </w:p>
    <w:p w14:paraId="12A061B3" w14:textId="1C7EAEA1" w:rsidR="00087547" w:rsidRPr="00271F9D" w:rsidRDefault="00087547" w:rsidP="000070E5">
      <w:pPr>
        <w:pStyle w:val="ListParagraph"/>
        <w:numPr>
          <w:ilvl w:val="2"/>
          <w:numId w:val="8"/>
        </w:numPr>
        <w:tabs>
          <w:tab w:val="left" w:pos="567"/>
          <w:tab w:val="left" w:pos="993"/>
        </w:tabs>
        <w:spacing w:after="0" w:line="240" w:lineRule="auto"/>
        <w:ind w:left="0" w:firstLine="0"/>
        <w:contextualSpacing w:val="0"/>
        <w:jc w:val="both"/>
        <w:rPr>
          <w:rFonts w:ascii="Arial" w:hAnsi="Arial" w:cs="Arial"/>
          <w:sz w:val="20"/>
          <w:szCs w:val="20"/>
        </w:rPr>
      </w:pPr>
      <w:r w:rsidRPr="00271F9D">
        <w:rPr>
          <w:rFonts w:ascii="Arial" w:hAnsi="Arial" w:cs="Arial"/>
          <w:b/>
          <w:sz w:val="20"/>
          <w:szCs w:val="20"/>
        </w:rPr>
        <w:t>Skaidrumas</w:t>
      </w:r>
      <w:r w:rsidRPr="00271F9D">
        <w:rPr>
          <w:rFonts w:ascii="Arial" w:hAnsi="Arial" w:cs="Arial"/>
          <w:sz w:val="20"/>
          <w:szCs w:val="20"/>
        </w:rPr>
        <w:t xml:space="preserve"> – Bendrovė, kai tai reikalinga, teikia informaciją apie </w:t>
      </w:r>
      <w:r w:rsidR="00FE3E7E" w:rsidRPr="00271F9D">
        <w:rPr>
          <w:rFonts w:ascii="Arial" w:hAnsi="Arial" w:cs="Arial"/>
          <w:sz w:val="20"/>
          <w:szCs w:val="20"/>
        </w:rPr>
        <w:t xml:space="preserve">reikšmingas </w:t>
      </w:r>
      <w:r w:rsidRPr="00271F9D">
        <w:rPr>
          <w:rFonts w:ascii="Arial" w:hAnsi="Arial" w:cs="Arial"/>
          <w:sz w:val="20"/>
          <w:szCs w:val="20"/>
        </w:rPr>
        <w:t>rizikas suinteresuotosioms šalims, siekdama atskleisti priimamų sprendimų motyvus ir didinti pasitikėjimą Bendrove</w:t>
      </w:r>
      <w:r w:rsidR="00CE5F2F" w:rsidRPr="00271F9D">
        <w:rPr>
          <w:rFonts w:ascii="Arial" w:hAnsi="Arial" w:cs="Arial"/>
          <w:sz w:val="20"/>
          <w:szCs w:val="20"/>
        </w:rPr>
        <w:t>;</w:t>
      </w:r>
    </w:p>
    <w:p w14:paraId="6420532F" w14:textId="11CFBAD6" w:rsidR="00CE5F2F" w:rsidRPr="00271F9D" w:rsidRDefault="00CE5F2F" w:rsidP="00780C4D">
      <w:pPr>
        <w:pStyle w:val="ListParagraph"/>
        <w:numPr>
          <w:ilvl w:val="2"/>
          <w:numId w:val="8"/>
        </w:numPr>
        <w:tabs>
          <w:tab w:val="left" w:pos="567"/>
          <w:tab w:val="left" w:pos="993"/>
        </w:tabs>
        <w:spacing w:after="0" w:line="240" w:lineRule="auto"/>
        <w:ind w:left="0" w:firstLine="0"/>
        <w:contextualSpacing w:val="0"/>
        <w:jc w:val="both"/>
        <w:rPr>
          <w:rFonts w:ascii="Arial" w:hAnsi="Arial" w:cs="Arial"/>
          <w:sz w:val="20"/>
          <w:szCs w:val="20"/>
        </w:rPr>
      </w:pPr>
      <w:r w:rsidRPr="00271F9D">
        <w:rPr>
          <w:rFonts w:ascii="Arial" w:hAnsi="Arial" w:cs="Arial"/>
          <w:b/>
          <w:sz w:val="20"/>
          <w:szCs w:val="20"/>
        </w:rPr>
        <w:t xml:space="preserve">Nuolatinis gerinimas </w:t>
      </w:r>
      <w:r w:rsidRPr="00271F9D">
        <w:rPr>
          <w:rFonts w:ascii="Arial" w:hAnsi="Arial" w:cs="Arial"/>
          <w:sz w:val="20"/>
          <w:szCs w:val="20"/>
        </w:rPr>
        <w:t>– rizikos valdymas nuolat gerinamas mokantis ir įgyjant patirties.</w:t>
      </w:r>
    </w:p>
    <w:p w14:paraId="6F10120B" w14:textId="3199ED61" w:rsidR="00A833FB" w:rsidRPr="00271F9D" w:rsidRDefault="00A833FB" w:rsidP="000070E5">
      <w:pPr>
        <w:pStyle w:val="ListParagraph"/>
        <w:numPr>
          <w:ilvl w:val="1"/>
          <w:numId w:val="8"/>
        </w:numPr>
        <w:tabs>
          <w:tab w:val="left" w:pos="567"/>
          <w:tab w:val="left" w:pos="993"/>
        </w:tabs>
        <w:spacing w:after="0" w:line="240" w:lineRule="auto"/>
        <w:ind w:left="0" w:firstLine="0"/>
        <w:contextualSpacing w:val="0"/>
        <w:jc w:val="both"/>
        <w:rPr>
          <w:rFonts w:ascii="Arial" w:hAnsi="Arial" w:cs="Arial"/>
          <w:sz w:val="20"/>
          <w:szCs w:val="20"/>
        </w:rPr>
      </w:pPr>
      <w:r w:rsidRPr="00271F9D">
        <w:rPr>
          <w:rFonts w:ascii="Arial" w:hAnsi="Arial" w:cs="Arial"/>
          <w:sz w:val="20"/>
          <w:szCs w:val="20"/>
        </w:rPr>
        <w:t>Rizikos valdymo principai taikomi Bendrovės kasdienėje veikloje, taip pat ir apriboto masto veikloje įskaitant, bet neapsiribojant procesų, pokyčių, bei projektų valdymu.</w:t>
      </w:r>
    </w:p>
    <w:p w14:paraId="39604E7F" w14:textId="20A4CD68" w:rsidR="00081891" w:rsidRPr="00271F9D" w:rsidRDefault="00982A2B" w:rsidP="00491963">
      <w:pPr>
        <w:tabs>
          <w:tab w:val="left" w:pos="426"/>
        </w:tabs>
        <w:spacing w:before="240" w:after="240" w:line="240" w:lineRule="auto"/>
        <w:jc w:val="both"/>
        <w:rPr>
          <w:rStyle w:val="Heading1Char"/>
          <w:rFonts w:ascii="Arial" w:hAnsi="Arial" w:cs="Arial"/>
          <w:bCs/>
          <w:color w:val="auto"/>
          <w:sz w:val="20"/>
          <w:szCs w:val="20"/>
        </w:rPr>
      </w:pPr>
      <w:r w:rsidRPr="00271F9D">
        <w:rPr>
          <w:rFonts w:ascii="Arial" w:hAnsi="Arial" w:cs="Arial"/>
          <w:b/>
          <w:bCs/>
          <w:caps/>
          <w:sz w:val="20"/>
          <w:szCs w:val="20"/>
        </w:rPr>
        <w:t xml:space="preserve">4. </w:t>
      </w:r>
      <w:bookmarkStart w:id="1" w:name="_Toc58232011"/>
      <w:r w:rsidR="00997170" w:rsidRPr="00271F9D">
        <w:rPr>
          <w:rStyle w:val="Heading1Char"/>
          <w:rFonts w:ascii="Arial" w:hAnsi="Arial" w:cs="Arial"/>
          <w:b/>
          <w:bCs/>
          <w:color w:val="auto"/>
          <w:sz w:val="20"/>
          <w:szCs w:val="20"/>
        </w:rPr>
        <w:t xml:space="preserve">RIZIKOS </w:t>
      </w:r>
      <w:r w:rsidR="00A833FB" w:rsidRPr="00271F9D">
        <w:rPr>
          <w:rStyle w:val="Heading1Char"/>
          <w:rFonts w:ascii="Arial" w:hAnsi="Arial" w:cs="Arial"/>
          <w:b/>
          <w:bCs/>
          <w:color w:val="auto"/>
          <w:sz w:val="20"/>
          <w:szCs w:val="20"/>
        </w:rPr>
        <w:t>APETITAS</w:t>
      </w:r>
      <w:bookmarkEnd w:id="1"/>
    </w:p>
    <w:p w14:paraId="7C4ED62D" w14:textId="69FFC6B1" w:rsidR="001B60FD" w:rsidRPr="00271F9D" w:rsidRDefault="00982A2B" w:rsidP="00982A2B">
      <w:pPr>
        <w:pStyle w:val="ListParagraph"/>
        <w:tabs>
          <w:tab w:val="left" w:pos="0"/>
          <w:tab w:val="left" w:pos="284"/>
          <w:tab w:val="left" w:pos="851"/>
        </w:tabs>
        <w:spacing w:after="0" w:line="240" w:lineRule="auto"/>
        <w:ind w:left="0"/>
        <w:contextualSpacing w:val="0"/>
        <w:jc w:val="both"/>
        <w:rPr>
          <w:rFonts w:ascii="Arial" w:hAnsi="Arial" w:cs="Arial"/>
          <w:sz w:val="20"/>
          <w:szCs w:val="20"/>
        </w:rPr>
      </w:pPr>
      <w:r w:rsidRPr="00271F9D">
        <w:rPr>
          <w:rFonts w:ascii="Arial" w:hAnsi="Arial" w:cs="Arial"/>
          <w:sz w:val="20"/>
          <w:szCs w:val="20"/>
        </w:rPr>
        <w:t xml:space="preserve">4.1. </w:t>
      </w:r>
      <w:r w:rsidR="001B60FD" w:rsidRPr="00271F9D">
        <w:rPr>
          <w:rFonts w:ascii="Arial" w:hAnsi="Arial" w:cs="Arial"/>
          <w:sz w:val="20"/>
          <w:szCs w:val="20"/>
        </w:rPr>
        <w:t>Bendrovės Valdyba nustato ir kasmet peržiūri rizikos apetitą.</w:t>
      </w:r>
    </w:p>
    <w:p w14:paraId="2D0B5691" w14:textId="4F3CEEDB" w:rsidR="00B41012" w:rsidRPr="00271F9D" w:rsidRDefault="001B60FD" w:rsidP="00780C4D">
      <w:pPr>
        <w:pStyle w:val="ListParagraph"/>
        <w:numPr>
          <w:ilvl w:val="1"/>
          <w:numId w:val="9"/>
        </w:numPr>
        <w:tabs>
          <w:tab w:val="left" w:pos="0"/>
          <w:tab w:val="left" w:pos="284"/>
          <w:tab w:val="left" w:pos="426"/>
          <w:tab w:val="left" w:pos="851"/>
        </w:tabs>
        <w:spacing w:after="0" w:line="240" w:lineRule="auto"/>
        <w:ind w:left="0" w:firstLine="0"/>
        <w:contextualSpacing w:val="0"/>
        <w:jc w:val="both"/>
        <w:rPr>
          <w:rFonts w:ascii="Arial" w:hAnsi="Arial" w:cs="Arial"/>
          <w:b/>
          <w:bCs/>
          <w:sz w:val="20"/>
          <w:szCs w:val="20"/>
        </w:rPr>
      </w:pPr>
      <w:r w:rsidRPr="00271F9D">
        <w:rPr>
          <w:rFonts w:ascii="Arial" w:hAnsi="Arial" w:cs="Arial"/>
          <w:b/>
          <w:bCs/>
          <w:sz w:val="20"/>
          <w:szCs w:val="20"/>
        </w:rPr>
        <w:t xml:space="preserve">Rizikos apetitas </w:t>
      </w:r>
      <w:r w:rsidR="00B41012" w:rsidRPr="00271F9D">
        <w:rPr>
          <w:rFonts w:ascii="Arial" w:hAnsi="Arial" w:cs="Arial"/>
          <w:b/>
          <w:bCs/>
          <w:sz w:val="20"/>
          <w:szCs w:val="20"/>
        </w:rPr>
        <w:t>nustatomas pagal rizikos kategorijas, įvertinus tokius faktorius:</w:t>
      </w:r>
    </w:p>
    <w:p w14:paraId="2704D1D8" w14:textId="77777777" w:rsidR="00B41012" w:rsidRPr="00271F9D" w:rsidRDefault="00B41012" w:rsidP="00780C4D">
      <w:pPr>
        <w:pStyle w:val="ListParagraph"/>
        <w:numPr>
          <w:ilvl w:val="2"/>
          <w:numId w:val="9"/>
        </w:numPr>
        <w:tabs>
          <w:tab w:val="left" w:pos="0"/>
          <w:tab w:val="left" w:pos="284"/>
          <w:tab w:val="left" w:pos="567"/>
          <w:tab w:val="left" w:pos="993"/>
        </w:tabs>
        <w:spacing w:after="0" w:line="240" w:lineRule="auto"/>
        <w:ind w:left="0" w:firstLine="0"/>
        <w:contextualSpacing w:val="0"/>
        <w:jc w:val="both"/>
        <w:rPr>
          <w:rFonts w:ascii="Arial" w:hAnsi="Arial" w:cs="Arial"/>
          <w:sz w:val="20"/>
          <w:szCs w:val="20"/>
        </w:rPr>
      </w:pPr>
      <w:r w:rsidRPr="00271F9D">
        <w:rPr>
          <w:rFonts w:ascii="Arial" w:hAnsi="Arial" w:cs="Arial"/>
          <w:sz w:val="20"/>
          <w:szCs w:val="20"/>
        </w:rPr>
        <w:t>veiklos sritis;</w:t>
      </w:r>
    </w:p>
    <w:p w14:paraId="7EF304C9" w14:textId="77777777" w:rsidR="00B41012" w:rsidRPr="00271F9D" w:rsidRDefault="00B41012" w:rsidP="00780C4D">
      <w:pPr>
        <w:pStyle w:val="ListParagraph"/>
        <w:numPr>
          <w:ilvl w:val="2"/>
          <w:numId w:val="9"/>
        </w:numPr>
        <w:tabs>
          <w:tab w:val="left" w:pos="0"/>
          <w:tab w:val="left" w:pos="284"/>
          <w:tab w:val="left" w:pos="567"/>
          <w:tab w:val="left" w:pos="993"/>
        </w:tabs>
        <w:spacing w:after="0" w:line="240" w:lineRule="auto"/>
        <w:ind w:left="0" w:firstLine="0"/>
        <w:contextualSpacing w:val="0"/>
        <w:jc w:val="both"/>
        <w:rPr>
          <w:rFonts w:ascii="Arial" w:hAnsi="Arial" w:cs="Arial"/>
          <w:sz w:val="20"/>
          <w:szCs w:val="20"/>
        </w:rPr>
      </w:pPr>
      <w:r w:rsidRPr="00271F9D">
        <w:rPr>
          <w:rFonts w:ascii="Arial" w:hAnsi="Arial" w:cs="Arial"/>
          <w:sz w:val="20"/>
          <w:szCs w:val="20"/>
        </w:rPr>
        <w:t xml:space="preserve"> įmonės kultūra;</w:t>
      </w:r>
    </w:p>
    <w:p w14:paraId="4C0B9180" w14:textId="77777777" w:rsidR="00B41012" w:rsidRPr="00271F9D" w:rsidRDefault="00B41012" w:rsidP="00780C4D">
      <w:pPr>
        <w:pStyle w:val="ListParagraph"/>
        <w:numPr>
          <w:ilvl w:val="2"/>
          <w:numId w:val="9"/>
        </w:numPr>
        <w:tabs>
          <w:tab w:val="left" w:pos="0"/>
          <w:tab w:val="left" w:pos="284"/>
          <w:tab w:val="left" w:pos="567"/>
          <w:tab w:val="left" w:pos="993"/>
        </w:tabs>
        <w:spacing w:after="0" w:line="240" w:lineRule="auto"/>
        <w:ind w:left="0" w:firstLine="0"/>
        <w:contextualSpacing w:val="0"/>
        <w:jc w:val="both"/>
        <w:rPr>
          <w:rFonts w:ascii="Arial" w:hAnsi="Arial" w:cs="Arial"/>
          <w:sz w:val="20"/>
          <w:szCs w:val="20"/>
        </w:rPr>
      </w:pPr>
      <w:r w:rsidRPr="00271F9D">
        <w:rPr>
          <w:rFonts w:ascii="Arial" w:hAnsi="Arial" w:cs="Arial"/>
          <w:sz w:val="20"/>
          <w:szCs w:val="20"/>
        </w:rPr>
        <w:t xml:space="preserve"> konkurentai;</w:t>
      </w:r>
    </w:p>
    <w:p w14:paraId="72D9A65A" w14:textId="77777777" w:rsidR="00B41012" w:rsidRPr="00271F9D" w:rsidRDefault="00B41012" w:rsidP="00780C4D">
      <w:pPr>
        <w:pStyle w:val="ListParagraph"/>
        <w:numPr>
          <w:ilvl w:val="2"/>
          <w:numId w:val="9"/>
        </w:numPr>
        <w:tabs>
          <w:tab w:val="left" w:pos="0"/>
          <w:tab w:val="left" w:pos="284"/>
          <w:tab w:val="left" w:pos="567"/>
          <w:tab w:val="left" w:pos="993"/>
        </w:tabs>
        <w:spacing w:after="0" w:line="240" w:lineRule="auto"/>
        <w:ind w:left="0" w:firstLine="0"/>
        <w:contextualSpacing w:val="0"/>
        <w:jc w:val="both"/>
        <w:rPr>
          <w:rFonts w:ascii="Arial" w:hAnsi="Arial" w:cs="Arial"/>
          <w:sz w:val="20"/>
          <w:szCs w:val="20"/>
        </w:rPr>
      </w:pPr>
      <w:r w:rsidRPr="00271F9D">
        <w:rPr>
          <w:rFonts w:ascii="Arial" w:hAnsi="Arial" w:cs="Arial"/>
          <w:sz w:val="20"/>
          <w:szCs w:val="20"/>
        </w:rPr>
        <w:t xml:space="preserve"> siekiamų tikslų pobūdis;</w:t>
      </w:r>
    </w:p>
    <w:p w14:paraId="22CFB625" w14:textId="493FEE20" w:rsidR="00B41012" w:rsidRPr="00271F9D" w:rsidRDefault="00B41012" w:rsidP="00780C4D">
      <w:pPr>
        <w:pStyle w:val="ListParagraph"/>
        <w:numPr>
          <w:ilvl w:val="2"/>
          <w:numId w:val="9"/>
        </w:numPr>
        <w:tabs>
          <w:tab w:val="left" w:pos="0"/>
          <w:tab w:val="left" w:pos="284"/>
          <w:tab w:val="left" w:pos="567"/>
          <w:tab w:val="left" w:pos="993"/>
        </w:tabs>
        <w:spacing w:after="0" w:line="240" w:lineRule="auto"/>
        <w:ind w:left="0" w:firstLine="0"/>
        <w:contextualSpacing w:val="0"/>
        <w:jc w:val="both"/>
        <w:rPr>
          <w:rFonts w:ascii="Arial" w:hAnsi="Arial" w:cs="Arial"/>
          <w:sz w:val="20"/>
          <w:szCs w:val="20"/>
        </w:rPr>
      </w:pPr>
      <w:r w:rsidRPr="00271F9D">
        <w:rPr>
          <w:rFonts w:ascii="Arial" w:hAnsi="Arial" w:cs="Arial"/>
          <w:sz w:val="20"/>
          <w:szCs w:val="20"/>
        </w:rPr>
        <w:t xml:space="preserve"> finansinis pajėgumas.</w:t>
      </w:r>
    </w:p>
    <w:p w14:paraId="146942CF" w14:textId="6157489D" w:rsidR="00491963" w:rsidRPr="00271F9D" w:rsidRDefault="00491963" w:rsidP="00491963">
      <w:pPr>
        <w:pStyle w:val="ListParagraph"/>
        <w:tabs>
          <w:tab w:val="left" w:pos="0"/>
          <w:tab w:val="left" w:pos="284"/>
          <w:tab w:val="left" w:pos="426"/>
          <w:tab w:val="left" w:pos="993"/>
        </w:tabs>
        <w:spacing w:after="0" w:line="240" w:lineRule="auto"/>
        <w:ind w:left="0"/>
        <w:contextualSpacing w:val="0"/>
        <w:jc w:val="both"/>
        <w:rPr>
          <w:rFonts w:ascii="Arial" w:hAnsi="Arial" w:cs="Arial"/>
          <w:sz w:val="20"/>
          <w:szCs w:val="20"/>
        </w:rPr>
      </w:pPr>
    </w:p>
    <w:p w14:paraId="6C89A857" w14:textId="15FB0050" w:rsidR="00D248A3" w:rsidRPr="00271F9D" w:rsidRDefault="00D248A3" w:rsidP="00491963">
      <w:pPr>
        <w:pStyle w:val="ListParagraph"/>
        <w:tabs>
          <w:tab w:val="left" w:pos="0"/>
          <w:tab w:val="left" w:pos="284"/>
          <w:tab w:val="left" w:pos="426"/>
          <w:tab w:val="left" w:pos="993"/>
        </w:tabs>
        <w:spacing w:after="0" w:line="240" w:lineRule="auto"/>
        <w:ind w:left="0"/>
        <w:contextualSpacing w:val="0"/>
        <w:jc w:val="both"/>
        <w:rPr>
          <w:rFonts w:ascii="Arial" w:hAnsi="Arial" w:cs="Arial"/>
          <w:sz w:val="20"/>
          <w:szCs w:val="20"/>
        </w:rPr>
      </w:pPr>
    </w:p>
    <w:p w14:paraId="5947C764" w14:textId="77777777" w:rsidR="00D248A3" w:rsidRPr="00271F9D" w:rsidRDefault="00D248A3" w:rsidP="00491963">
      <w:pPr>
        <w:pStyle w:val="ListParagraph"/>
        <w:tabs>
          <w:tab w:val="left" w:pos="0"/>
          <w:tab w:val="left" w:pos="284"/>
          <w:tab w:val="left" w:pos="426"/>
          <w:tab w:val="left" w:pos="993"/>
        </w:tabs>
        <w:spacing w:after="0" w:line="240" w:lineRule="auto"/>
        <w:ind w:left="0"/>
        <w:contextualSpacing w:val="0"/>
        <w:jc w:val="both"/>
        <w:rPr>
          <w:rFonts w:ascii="Arial" w:hAnsi="Arial" w:cs="Arial"/>
          <w:sz w:val="20"/>
          <w:szCs w:val="20"/>
        </w:rPr>
      </w:pPr>
    </w:p>
    <w:p w14:paraId="3F478F01" w14:textId="7F187203" w:rsidR="001B60FD" w:rsidRPr="00271F9D" w:rsidRDefault="001B60FD" w:rsidP="00A67BA9">
      <w:pPr>
        <w:pStyle w:val="ListParagraph"/>
        <w:numPr>
          <w:ilvl w:val="1"/>
          <w:numId w:val="9"/>
        </w:numPr>
        <w:tabs>
          <w:tab w:val="left" w:pos="0"/>
          <w:tab w:val="left" w:pos="284"/>
          <w:tab w:val="left" w:pos="426"/>
          <w:tab w:val="left" w:pos="993"/>
        </w:tabs>
        <w:spacing w:after="0" w:line="240" w:lineRule="auto"/>
        <w:ind w:left="0" w:firstLine="0"/>
        <w:contextualSpacing w:val="0"/>
        <w:jc w:val="both"/>
        <w:rPr>
          <w:rFonts w:ascii="Arial" w:hAnsi="Arial" w:cs="Arial"/>
          <w:b/>
          <w:bCs/>
          <w:sz w:val="20"/>
          <w:szCs w:val="20"/>
        </w:rPr>
      </w:pPr>
      <w:r w:rsidRPr="00271F9D">
        <w:rPr>
          <w:rFonts w:ascii="Arial" w:hAnsi="Arial" w:cs="Arial"/>
          <w:b/>
          <w:bCs/>
          <w:sz w:val="20"/>
          <w:szCs w:val="20"/>
        </w:rPr>
        <w:lastRenderedPageBreak/>
        <w:t>Bendrovės rizikos kategorijos atsižvelgiant į priežastingumą:</w:t>
      </w:r>
    </w:p>
    <w:p w14:paraId="6380D713" w14:textId="68CA2BD7" w:rsidR="00ED232A" w:rsidRPr="00333ECB" w:rsidRDefault="00ED232A" w:rsidP="00780C4D">
      <w:pPr>
        <w:pStyle w:val="ListParagraph"/>
        <w:numPr>
          <w:ilvl w:val="2"/>
          <w:numId w:val="9"/>
        </w:numPr>
        <w:tabs>
          <w:tab w:val="left" w:pos="0"/>
          <w:tab w:val="left" w:pos="284"/>
          <w:tab w:val="left" w:pos="567"/>
          <w:tab w:val="left" w:pos="1134"/>
        </w:tabs>
        <w:spacing w:after="0" w:line="240" w:lineRule="auto"/>
        <w:ind w:left="0" w:firstLine="0"/>
        <w:jc w:val="both"/>
        <w:rPr>
          <w:rFonts w:ascii="Arial" w:hAnsi="Arial" w:cs="Arial"/>
          <w:sz w:val="20"/>
          <w:szCs w:val="20"/>
        </w:rPr>
      </w:pPr>
      <w:bookmarkStart w:id="2" w:name="_Hlk80093968"/>
      <w:r w:rsidRPr="00E251D8">
        <w:rPr>
          <w:rFonts w:ascii="Arial" w:hAnsi="Arial" w:cs="Arial"/>
          <w:sz w:val="20"/>
          <w:szCs w:val="20"/>
        </w:rPr>
        <w:t xml:space="preserve">Strateginė/verslo rizika – rizika, kylanti nustatant </w:t>
      </w:r>
      <w:r w:rsidRPr="00333ECB">
        <w:rPr>
          <w:rFonts w:ascii="Arial" w:hAnsi="Arial" w:cs="Arial"/>
          <w:sz w:val="20"/>
          <w:szCs w:val="20"/>
        </w:rPr>
        <w:t xml:space="preserve">ir vykdant strategiją, </w:t>
      </w:r>
      <w:r w:rsidR="00285728" w:rsidRPr="00333ECB">
        <w:rPr>
          <w:rFonts w:ascii="Arial" w:hAnsi="Arial" w:cs="Arial"/>
          <w:sz w:val="20"/>
          <w:szCs w:val="20"/>
        </w:rPr>
        <w:t xml:space="preserve">kuri yra </w:t>
      </w:r>
      <w:r w:rsidR="00384542" w:rsidRPr="00333ECB">
        <w:rPr>
          <w:rFonts w:ascii="Arial" w:hAnsi="Arial" w:cs="Arial"/>
          <w:sz w:val="20"/>
          <w:szCs w:val="20"/>
        </w:rPr>
        <w:t>netiksliai</w:t>
      </w:r>
      <w:r w:rsidR="00285728" w:rsidRPr="00333ECB">
        <w:rPr>
          <w:rFonts w:ascii="Arial" w:hAnsi="Arial" w:cs="Arial"/>
          <w:sz w:val="20"/>
          <w:szCs w:val="20"/>
        </w:rPr>
        <w:t xml:space="preserve"> apibrėžta (</w:t>
      </w:r>
      <w:proofErr w:type="spellStart"/>
      <w:r w:rsidR="00285728" w:rsidRPr="00333ECB">
        <w:rPr>
          <w:rFonts w:ascii="Arial" w:hAnsi="Arial" w:cs="Arial"/>
          <w:i/>
          <w:iCs/>
          <w:sz w:val="20"/>
          <w:szCs w:val="20"/>
        </w:rPr>
        <w:t>poorly</w:t>
      </w:r>
      <w:proofErr w:type="spellEnd"/>
      <w:r w:rsidR="00285728" w:rsidRPr="00333ECB">
        <w:rPr>
          <w:rFonts w:ascii="Arial" w:hAnsi="Arial" w:cs="Arial"/>
          <w:i/>
          <w:iCs/>
          <w:sz w:val="20"/>
          <w:szCs w:val="20"/>
        </w:rPr>
        <w:t xml:space="preserve"> </w:t>
      </w:r>
      <w:proofErr w:type="spellStart"/>
      <w:r w:rsidR="00285728" w:rsidRPr="00333ECB">
        <w:rPr>
          <w:rFonts w:ascii="Arial" w:hAnsi="Arial" w:cs="Arial"/>
          <w:i/>
          <w:iCs/>
          <w:sz w:val="20"/>
          <w:szCs w:val="20"/>
        </w:rPr>
        <w:t>defined</w:t>
      </w:r>
      <w:proofErr w:type="spellEnd"/>
      <w:r w:rsidR="00285728" w:rsidRPr="00333ECB">
        <w:rPr>
          <w:rFonts w:ascii="Arial" w:hAnsi="Arial" w:cs="Arial"/>
          <w:sz w:val="20"/>
          <w:szCs w:val="20"/>
        </w:rPr>
        <w:t xml:space="preserve">), </w:t>
      </w:r>
      <w:r w:rsidRPr="00333ECB">
        <w:rPr>
          <w:rFonts w:ascii="Arial" w:hAnsi="Arial" w:cs="Arial"/>
          <w:sz w:val="20"/>
          <w:szCs w:val="20"/>
        </w:rPr>
        <w:t xml:space="preserve">pagrįsta </w:t>
      </w:r>
      <w:r w:rsidR="00D94756" w:rsidRPr="00333ECB">
        <w:rPr>
          <w:rFonts w:ascii="Arial" w:hAnsi="Arial" w:cs="Arial"/>
          <w:sz w:val="20"/>
          <w:szCs w:val="20"/>
        </w:rPr>
        <w:t xml:space="preserve">neišsamiais </w:t>
      </w:r>
      <w:r w:rsidRPr="00333ECB">
        <w:rPr>
          <w:rFonts w:ascii="Arial" w:hAnsi="Arial" w:cs="Arial"/>
          <w:sz w:val="20"/>
          <w:szCs w:val="20"/>
        </w:rPr>
        <w:t xml:space="preserve">ar netiksliais duomenimis arba </w:t>
      </w:r>
      <w:r w:rsidR="00992885" w:rsidRPr="00333ECB">
        <w:rPr>
          <w:rFonts w:ascii="Arial" w:hAnsi="Arial" w:cs="Arial"/>
          <w:sz w:val="20"/>
          <w:szCs w:val="20"/>
        </w:rPr>
        <w:t xml:space="preserve">kuri neužtikrina </w:t>
      </w:r>
      <w:r w:rsidRPr="00333ECB">
        <w:rPr>
          <w:rFonts w:ascii="Arial" w:hAnsi="Arial" w:cs="Arial"/>
          <w:sz w:val="20"/>
          <w:szCs w:val="20"/>
        </w:rPr>
        <w:t xml:space="preserve">įsipareigojimų, planų ar tikslų vykdymo </w:t>
      </w:r>
      <w:r w:rsidR="00992885" w:rsidRPr="00333ECB">
        <w:rPr>
          <w:rFonts w:ascii="Arial" w:hAnsi="Arial" w:cs="Arial"/>
          <w:sz w:val="20"/>
          <w:szCs w:val="20"/>
        </w:rPr>
        <w:t>keičiantis</w:t>
      </w:r>
      <w:r w:rsidRPr="00333ECB">
        <w:rPr>
          <w:rFonts w:ascii="Arial" w:hAnsi="Arial" w:cs="Arial"/>
          <w:sz w:val="20"/>
          <w:szCs w:val="20"/>
        </w:rPr>
        <w:t xml:space="preserve"> makroaplink</w:t>
      </w:r>
      <w:r w:rsidR="00992885" w:rsidRPr="00333ECB">
        <w:rPr>
          <w:rFonts w:ascii="Arial" w:hAnsi="Arial" w:cs="Arial"/>
          <w:sz w:val="20"/>
          <w:szCs w:val="20"/>
        </w:rPr>
        <w:t>ai</w:t>
      </w:r>
      <w:r w:rsidRPr="00333ECB">
        <w:rPr>
          <w:rFonts w:ascii="Arial" w:hAnsi="Arial" w:cs="Arial"/>
          <w:sz w:val="20"/>
          <w:szCs w:val="20"/>
        </w:rPr>
        <w:t>;</w:t>
      </w:r>
    </w:p>
    <w:p w14:paraId="60C7ECE9" w14:textId="588A38F7" w:rsidR="00ED232A" w:rsidRPr="00333ECB" w:rsidRDefault="00ED232A" w:rsidP="00780C4D">
      <w:pPr>
        <w:pStyle w:val="ListParagraph"/>
        <w:numPr>
          <w:ilvl w:val="2"/>
          <w:numId w:val="9"/>
        </w:numPr>
        <w:tabs>
          <w:tab w:val="left" w:pos="0"/>
          <w:tab w:val="left" w:pos="284"/>
          <w:tab w:val="left" w:pos="567"/>
          <w:tab w:val="left" w:pos="1134"/>
        </w:tabs>
        <w:spacing w:after="0" w:line="240" w:lineRule="auto"/>
        <w:ind w:left="0" w:firstLine="0"/>
        <w:jc w:val="both"/>
        <w:rPr>
          <w:rFonts w:ascii="Arial" w:hAnsi="Arial" w:cs="Arial"/>
          <w:sz w:val="20"/>
          <w:szCs w:val="20"/>
        </w:rPr>
      </w:pPr>
      <w:bookmarkStart w:id="3" w:name="_Hlk80093991"/>
      <w:bookmarkEnd w:id="2"/>
      <w:r w:rsidRPr="00333ECB">
        <w:rPr>
          <w:rFonts w:ascii="Arial" w:hAnsi="Arial" w:cs="Arial"/>
          <w:sz w:val="20"/>
          <w:szCs w:val="20"/>
        </w:rPr>
        <w:t xml:space="preserve">Finansinė rizika – rizika, atsirandanti dėl </w:t>
      </w:r>
      <w:r w:rsidR="00C57026" w:rsidRPr="00333ECB">
        <w:rPr>
          <w:rFonts w:ascii="Arial" w:hAnsi="Arial" w:cs="Arial"/>
          <w:sz w:val="20"/>
          <w:szCs w:val="20"/>
        </w:rPr>
        <w:t xml:space="preserve">to, kad finansai nėra valdomi </w:t>
      </w:r>
      <w:r w:rsidRPr="00333ECB">
        <w:rPr>
          <w:rFonts w:ascii="Arial" w:hAnsi="Arial" w:cs="Arial"/>
          <w:sz w:val="20"/>
          <w:szCs w:val="20"/>
        </w:rPr>
        <w:t xml:space="preserve">pagal reikalavimus </w:t>
      </w:r>
      <w:r w:rsidR="00C57026" w:rsidRPr="00333ECB">
        <w:rPr>
          <w:rFonts w:ascii="Arial" w:hAnsi="Arial" w:cs="Arial"/>
          <w:sz w:val="20"/>
          <w:szCs w:val="20"/>
        </w:rPr>
        <w:t>bei laikantis</w:t>
      </w:r>
      <w:r w:rsidRPr="00333ECB">
        <w:rPr>
          <w:rFonts w:ascii="Arial" w:hAnsi="Arial" w:cs="Arial"/>
          <w:sz w:val="20"/>
          <w:szCs w:val="20"/>
        </w:rPr>
        <w:t xml:space="preserve"> finansini</w:t>
      </w:r>
      <w:r w:rsidR="00C57026" w:rsidRPr="00333ECB">
        <w:rPr>
          <w:rFonts w:ascii="Arial" w:hAnsi="Arial" w:cs="Arial"/>
          <w:sz w:val="20"/>
          <w:szCs w:val="20"/>
        </w:rPr>
        <w:t>ų apribojimų</w:t>
      </w:r>
      <w:r w:rsidRPr="00333ECB">
        <w:rPr>
          <w:rFonts w:ascii="Arial" w:hAnsi="Arial" w:cs="Arial"/>
          <w:sz w:val="20"/>
          <w:szCs w:val="20"/>
        </w:rPr>
        <w:t>, dėl k</w:t>
      </w:r>
      <w:r w:rsidR="00D77D39" w:rsidRPr="00333ECB">
        <w:rPr>
          <w:rFonts w:ascii="Arial" w:hAnsi="Arial" w:cs="Arial"/>
          <w:sz w:val="20"/>
          <w:szCs w:val="20"/>
        </w:rPr>
        <w:t xml:space="preserve">o </w:t>
      </w:r>
      <w:r w:rsidR="00C57026" w:rsidRPr="00333ECB">
        <w:rPr>
          <w:rFonts w:ascii="Arial" w:hAnsi="Arial" w:cs="Arial"/>
          <w:sz w:val="20"/>
          <w:szCs w:val="20"/>
        </w:rPr>
        <w:t>gaunama</w:t>
      </w:r>
      <w:r w:rsidR="00E251D8" w:rsidRPr="00333ECB">
        <w:rPr>
          <w:rFonts w:ascii="Arial" w:hAnsi="Arial" w:cs="Arial"/>
          <w:sz w:val="20"/>
          <w:szCs w:val="20"/>
        </w:rPr>
        <w:t xml:space="preserve"> </w:t>
      </w:r>
      <w:r w:rsidR="00D77D39" w:rsidRPr="00333ECB">
        <w:rPr>
          <w:rFonts w:ascii="Arial" w:hAnsi="Arial" w:cs="Arial"/>
          <w:sz w:val="20"/>
          <w:szCs w:val="20"/>
        </w:rPr>
        <w:t xml:space="preserve">žema </w:t>
      </w:r>
      <w:r w:rsidRPr="00333ECB">
        <w:rPr>
          <w:rFonts w:ascii="Arial" w:hAnsi="Arial" w:cs="Arial"/>
          <w:sz w:val="20"/>
          <w:szCs w:val="20"/>
        </w:rPr>
        <w:t>investicijų grąža</w:t>
      </w:r>
      <w:r w:rsidR="00453811" w:rsidRPr="00333ECB">
        <w:rPr>
          <w:rFonts w:ascii="Arial" w:hAnsi="Arial" w:cs="Arial"/>
          <w:sz w:val="20"/>
          <w:szCs w:val="20"/>
        </w:rPr>
        <w:t xml:space="preserve"> (</w:t>
      </w:r>
      <w:proofErr w:type="spellStart"/>
      <w:r w:rsidR="00453811" w:rsidRPr="00333ECB">
        <w:rPr>
          <w:rFonts w:ascii="Arial" w:hAnsi="Arial" w:cs="Arial"/>
          <w:i/>
          <w:iCs/>
          <w:sz w:val="20"/>
          <w:szCs w:val="20"/>
        </w:rPr>
        <w:t>poor</w:t>
      </w:r>
      <w:proofErr w:type="spellEnd"/>
      <w:r w:rsidR="00453811" w:rsidRPr="00333ECB">
        <w:rPr>
          <w:rFonts w:ascii="Arial" w:hAnsi="Arial" w:cs="Arial"/>
          <w:i/>
          <w:iCs/>
          <w:sz w:val="20"/>
          <w:szCs w:val="20"/>
        </w:rPr>
        <w:t xml:space="preserve"> </w:t>
      </w:r>
      <w:proofErr w:type="spellStart"/>
      <w:r w:rsidR="00453811" w:rsidRPr="00333ECB">
        <w:rPr>
          <w:rFonts w:ascii="Arial" w:hAnsi="Arial" w:cs="Arial"/>
          <w:i/>
          <w:iCs/>
          <w:sz w:val="20"/>
          <w:szCs w:val="20"/>
        </w:rPr>
        <w:t>returns</w:t>
      </w:r>
      <w:proofErr w:type="spellEnd"/>
      <w:r w:rsidR="00453811" w:rsidRPr="00333ECB">
        <w:rPr>
          <w:rFonts w:ascii="Arial" w:hAnsi="Arial" w:cs="Arial"/>
          <w:i/>
          <w:iCs/>
          <w:sz w:val="20"/>
          <w:szCs w:val="20"/>
        </w:rPr>
        <w:t xml:space="preserve"> </w:t>
      </w:r>
      <w:proofErr w:type="spellStart"/>
      <w:r w:rsidR="00453811" w:rsidRPr="00333ECB">
        <w:rPr>
          <w:rFonts w:ascii="Arial" w:hAnsi="Arial" w:cs="Arial"/>
          <w:i/>
          <w:iCs/>
          <w:sz w:val="20"/>
          <w:szCs w:val="20"/>
        </w:rPr>
        <w:t>from</w:t>
      </w:r>
      <w:proofErr w:type="spellEnd"/>
      <w:r w:rsidR="00453811" w:rsidRPr="00333ECB">
        <w:rPr>
          <w:rFonts w:ascii="Arial" w:hAnsi="Arial" w:cs="Arial"/>
          <w:i/>
          <w:iCs/>
          <w:sz w:val="20"/>
          <w:szCs w:val="20"/>
        </w:rPr>
        <w:t xml:space="preserve"> </w:t>
      </w:r>
      <w:proofErr w:type="spellStart"/>
      <w:r w:rsidR="00453811" w:rsidRPr="00333ECB">
        <w:rPr>
          <w:rFonts w:ascii="Arial" w:hAnsi="Arial" w:cs="Arial"/>
          <w:i/>
          <w:iCs/>
          <w:sz w:val="20"/>
          <w:szCs w:val="20"/>
        </w:rPr>
        <w:t>investments</w:t>
      </w:r>
      <w:proofErr w:type="spellEnd"/>
      <w:r w:rsidR="00453811" w:rsidRPr="00333ECB">
        <w:rPr>
          <w:rFonts w:ascii="Arial" w:hAnsi="Arial" w:cs="Arial"/>
          <w:sz w:val="20"/>
          <w:szCs w:val="20"/>
        </w:rPr>
        <w:t>)</w:t>
      </w:r>
      <w:r w:rsidRPr="00333ECB">
        <w:rPr>
          <w:rFonts w:ascii="Arial" w:hAnsi="Arial" w:cs="Arial"/>
          <w:sz w:val="20"/>
          <w:szCs w:val="20"/>
        </w:rPr>
        <w:t>, nesugeb</w:t>
      </w:r>
      <w:r w:rsidR="00C57026" w:rsidRPr="00333ECB">
        <w:rPr>
          <w:rFonts w:ascii="Arial" w:hAnsi="Arial" w:cs="Arial"/>
          <w:sz w:val="20"/>
          <w:szCs w:val="20"/>
        </w:rPr>
        <w:t>a</w:t>
      </w:r>
      <w:r w:rsidR="00333ECB">
        <w:rPr>
          <w:rFonts w:ascii="Arial" w:hAnsi="Arial" w:cs="Arial"/>
          <w:sz w:val="20"/>
          <w:szCs w:val="20"/>
        </w:rPr>
        <w:t>ma</w:t>
      </w:r>
      <w:r w:rsidRPr="00333ECB">
        <w:rPr>
          <w:rFonts w:ascii="Arial" w:hAnsi="Arial" w:cs="Arial"/>
          <w:sz w:val="20"/>
          <w:szCs w:val="20"/>
        </w:rPr>
        <w:t xml:space="preserve"> </w:t>
      </w:r>
      <w:r w:rsidR="00C57026" w:rsidRPr="00333ECB">
        <w:rPr>
          <w:rFonts w:ascii="Arial" w:hAnsi="Arial" w:cs="Arial"/>
          <w:sz w:val="20"/>
          <w:szCs w:val="20"/>
        </w:rPr>
        <w:t xml:space="preserve">tinkamai </w:t>
      </w:r>
      <w:r w:rsidRPr="00333ECB">
        <w:rPr>
          <w:rFonts w:ascii="Arial" w:hAnsi="Arial" w:cs="Arial"/>
          <w:sz w:val="20"/>
          <w:szCs w:val="20"/>
        </w:rPr>
        <w:t xml:space="preserve">valdyti turto/įsipareigojimų ar nepavyksta </w:t>
      </w:r>
      <w:r w:rsidR="00C57026" w:rsidRPr="00333ECB">
        <w:rPr>
          <w:rFonts w:ascii="Arial" w:hAnsi="Arial" w:cs="Arial"/>
          <w:sz w:val="20"/>
          <w:szCs w:val="20"/>
        </w:rPr>
        <w:t>iš</w:t>
      </w:r>
      <w:r w:rsidRPr="00333ECB">
        <w:rPr>
          <w:rFonts w:ascii="Arial" w:hAnsi="Arial" w:cs="Arial"/>
          <w:sz w:val="20"/>
          <w:szCs w:val="20"/>
        </w:rPr>
        <w:t xml:space="preserve">gauti </w:t>
      </w:r>
      <w:r w:rsidR="00C57026" w:rsidRPr="00333ECB">
        <w:rPr>
          <w:rFonts w:ascii="Arial" w:hAnsi="Arial" w:cs="Arial"/>
          <w:sz w:val="20"/>
          <w:szCs w:val="20"/>
        </w:rPr>
        <w:t xml:space="preserve">didžiausios ekonominės </w:t>
      </w:r>
      <w:r w:rsidRPr="00333ECB">
        <w:rPr>
          <w:rFonts w:ascii="Arial" w:hAnsi="Arial" w:cs="Arial"/>
          <w:sz w:val="20"/>
          <w:szCs w:val="20"/>
        </w:rPr>
        <w:t>vertės iš panaudotų išteklių</w:t>
      </w:r>
      <w:r w:rsidR="00C57026" w:rsidRPr="00333ECB">
        <w:rPr>
          <w:rFonts w:ascii="Arial" w:hAnsi="Arial" w:cs="Arial"/>
          <w:sz w:val="20"/>
          <w:szCs w:val="20"/>
        </w:rPr>
        <w:t xml:space="preserve">, o finansinė </w:t>
      </w:r>
      <w:r w:rsidR="00E251D8" w:rsidRPr="00333ECB">
        <w:rPr>
          <w:rFonts w:ascii="Arial" w:hAnsi="Arial" w:cs="Arial"/>
          <w:sz w:val="20"/>
          <w:szCs w:val="20"/>
        </w:rPr>
        <w:t>atskaitomybė</w:t>
      </w:r>
      <w:r w:rsidR="00C57026" w:rsidRPr="00333ECB">
        <w:rPr>
          <w:rFonts w:ascii="Arial" w:hAnsi="Arial" w:cs="Arial"/>
          <w:sz w:val="20"/>
          <w:szCs w:val="20"/>
        </w:rPr>
        <w:t xml:space="preserve"> </w:t>
      </w:r>
      <w:r w:rsidRPr="00333ECB">
        <w:rPr>
          <w:rFonts w:ascii="Arial" w:hAnsi="Arial" w:cs="Arial"/>
          <w:sz w:val="20"/>
          <w:szCs w:val="20"/>
        </w:rPr>
        <w:t>neatitinka</w:t>
      </w:r>
      <w:r w:rsidR="00C57026" w:rsidRPr="00333ECB">
        <w:rPr>
          <w:rFonts w:ascii="Arial" w:hAnsi="Arial" w:cs="Arial"/>
          <w:sz w:val="20"/>
          <w:szCs w:val="20"/>
        </w:rPr>
        <w:t xml:space="preserve"> jai keliamų</w:t>
      </w:r>
      <w:r w:rsidRPr="00333ECB">
        <w:rPr>
          <w:rFonts w:ascii="Arial" w:hAnsi="Arial" w:cs="Arial"/>
          <w:sz w:val="20"/>
          <w:szCs w:val="20"/>
        </w:rPr>
        <w:t xml:space="preserve"> reikalavimų;</w:t>
      </w:r>
    </w:p>
    <w:p w14:paraId="70D88DE5" w14:textId="74F1D92F" w:rsidR="00ED232A" w:rsidRPr="00333ECB" w:rsidRDefault="00ED232A" w:rsidP="00780C4D">
      <w:pPr>
        <w:pStyle w:val="ListParagraph"/>
        <w:numPr>
          <w:ilvl w:val="2"/>
          <w:numId w:val="9"/>
        </w:numPr>
        <w:tabs>
          <w:tab w:val="left" w:pos="0"/>
          <w:tab w:val="left" w:pos="284"/>
          <w:tab w:val="left" w:pos="567"/>
          <w:tab w:val="left" w:pos="1134"/>
        </w:tabs>
        <w:spacing w:after="0" w:line="240" w:lineRule="auto"/>
        <w:ind w:left="0" w:firstLine="0"/>
        <w:jc w:val="both"/>
        <w:rPr>
          <w:rFonts w:ascii="Arial" w:hAnsi="Arial" w:cs="Arial"/>
          <w:sz w:val="20"/>
          <w:szCs w:val="20"/>
        </w:rPr>
      </w:pPr>
      <w:bookmarkStart w:id="4" w:name="_Hlk80094018"/>
      <w:bookmarkEnd w:id="3"/>
      <w:r w:rsidRPr="00333ECB">
        <w:rPr>
          <w:rFonts w:ascii="Arial" w:hAnsi="Arial" w:cs="Arial"/>
          <w:sz w:val="20"/>
          <w:szCs w:val="20"/>
        </w:rPr>
        <w:t>Operacinė rizika – rizika, kylanti dėl ne</w:t>
      </w:r>
      <w:r w:rsidR="00C03DC8" w:rsidRPr="00333ECB">
        <w:rPr>
          <w:rFonts w:ascii="Arial" w:hAnsi="Arial" w:cs="Arial"/>
          <w:sz w:val="20"/>
          <w:szCs w:val="20"/>
        </w:rPr>
        <w:t>pakankamų</w:t>
      </w:r>
      <w:r w:rsidRPr="00333ECB">
        <w:rPr>
          <w:rFonts w:ascii="Arial" w:hAnsi="Arial" w:cs="Arial"/>
          <w:sz w:val="20"/>
          <w:szCs w:val="20"/>
        </w:rPr>
        <w:t xml:space="preserve">, netinkamai </w:t>
      </w:r>
      <w:r w:rsidR="00AB3525" w:rsidRPr="00333ECB">
        <w:rPr>
          <w:rFonts w:ascii="Arial" w:hAnsi="Arial" w:cs="Arial"/>
          <w:sz w:val="20"/>
          <w:szCs w:val="20"/>
        </w:rPr>
        <w:t xml:space="preserve">nustatytų </w:t>
      </w:r>
      <w:r w:rsidRPr="00333ECB">
        <w:rPr>
          <w:rFonts w:ascii="Arial" w:hAnsi="Arial" w:cs="Arial"/>
          <w:sz w:val="20"/>
          <w:szCs w:val="20"/>
        </w:rPr>
        <w:t xml:space="preserve">arba neefektyvių </w:t>
      </w:r>
      <w:r w:rsidR="00C03DC8" w:rsidRPr="00333ECB">
        <w:rPr>
          <w:rFonts w:ascii="Arial" w:hAnsi="Arial" w:cs="Arial"/>
          <w:sz w:val="20"/>
          <w:szCs w:val="20"/>
        </w:rPr>
        <w:t xml:space="preserve">(į rezultatą neorientuotų) </w:t>
      </w:r>
      <w:r w:rsidRPr="00333ECB">
        <w:rPr>
          <w:rFonts w:ascii="Arial" w:hAnsi="Arial" w:cs="Arial"/>
          <w:sz w:val="20"/>
          <w:szCs w:val="20"/>
        </w:rPr>
        <w:t>vidaus procesų, dėl k</w:t>
      </w:r>
      <w:r w:rsidR="001A2C45" w:rsidRPr="00333ECB">
        <w:rPr>
          <w:rFonts w:ascii="Arial" w:hAnsi="Arial" w:cs="Arial"/>
          <w:sz w:val="20"/>
          <w:szCs w:val="20"/>
        </w:rPr>
        <w:t>o</w:t>
      </w:r>
      <w:r w:rsidRPr="00333ECB">
        <w:rPr>
          <w:rFonts w:ascii="Arial" w:hAnsi="Arial" w:cs="Arial"/>
          <w:sz w:val="20"/>
          <w:szCs w:val="20"/>
        </w:rPr>
        <w:t xml:space="preserve"> gali atsirasti sukčiavimas, klaidos, </w:t>
      </w:r>
      <w:r w:rsidR="00C03DC8" w:rsidRPr="00333ECB">
        <w:rPr>
          <w:rFonts w:ascii="Arial" w:hAnsi="Arial" w:cs="Arial"/>
          <w:sz w:val="20"/>
          <w:szCs w:val="20"/>
        </w:rPr>
        <w:t xml:space="preserve">sumažėti </w:t>
      </w:r>
      <w:r w:rsidRPr="00333ECB">
        <w:rPr>
          <w:rFonts w:ascii="Arial" w:hAnsi="Arial" w:cs="Arial"/>
          <w:sz w:val="20"/>
          <w:szCs w:val="20"/>
        </w:rPr>
        <w:t xml:space="preserve"> klientų aptarnavim</w:t>
      </w:r>
      <w:r w:rsidR="00C03DC8" w:rsidRPr="00333ECB">
        <w:rPr>
          <w:rFonts w:ascii="Arial" w:hAnsi="Arial" w:cs="Arial"/>
          <w:sz w:val="20"/>
          <w:szCs w:val="20"/>
        </w:rPr>
        <w:t>o kokybė</w:t>
      </w:r>
      <w:r w:rsidRPr="00333ECB">
        <w:rPr>
          <w:rFonts w:ascii="Arial" w:hAnsi="Arial" w:cs="Arial"/>
          <w:sz w:val="20"/>
          <w:szCs w:val="20"/>
        </w:rPr>
        <w:t xml:space="preserve"> (</w:t>
      </w:r>
      <w:r w:rsidR="00C03DC8" w:rsidRPr="00333ECB">
        <w:rPr>
          <w:rFonts w:ascii="Arial" w:hAnsi="Arial" w:cs="Arial"/>
          <w:sz w:val="20"/>
          <w:szCs w:val="20"/>
        </w:rPr>
        <w:t xml:space="preserve">nukenčia </w:t>
      </w:r>
      <w:r w:rsidRPr="00333ECB">
        <w:rPr>
          <w:rFonts w:ascii="Arial" w:hAnsi="Arial" w:cs="Arial"/>
          <w:sz w:val="20"/>
          <w:szCs w:val="20"/>
        </w:rPr>
        <w:t xml:space="preserve">paslaugų kokybė ir (arba) kiekybė), </w:t>
      </w:r>
      <w:r w:rsidR="00C03DC8" w:rsidRPr="00333ECB">
        <w:rPr>
          <w:rFonts w:ascii="Arial" w:hAnsi="Arial" w:cs="Arial"/>
          <w:sz w:val="20"/>
          <w:szCs w:val="20"/>
        </w:rPr>
        <w:t xml:space="preserve">neužtikrinama </w:t>
      </w:r>
      <w:r w:rsidRPr="00333ECB">
        <w:rPr>
          <w:rFonts w:ascii="Arial" w:hAnsi="Arial" w:cs="Arial"/>
          <w:sz w:val="20"/>
          <w:szCs w:val="20"/>
        </w:rPr>
        <w:t xml:space="preserve">atitiktis ir (arba) </w:t>
      </w:r>
      <w:r w:rsidR="00C03DC8" w:rsidRPr="00333ECB">
        <w:rPr>
          <w:rFonts w:ascii="Arial" w:hAnsi="Arial" w:cs="Arial"/>
          <w:sz w:val="20"/>
          <w:szCs w:val="20"/>
        </w:rPr>
        <w:t>gaunama ekonominė nauda yra žema</w:t>
      </w:r>
      <w:r w:rsidR="00C03DC8" w:rsidRPr="00333ECB">
        <w:rPr>
          <w:rFonts w:ascii="Arial" w:hAnsi="Arial" w:cs="Arial"/>
          <w:i/>
          <w:iCs/>
          <w:sz w:val="20"/>
          <w:szCs w:val="20"/>
        </w:rPr>
        <w:t xml:space="preserve"> (</w:t>
      </w:r>
      <w:proofErr w:type="spellStart"/>
      <w:r w:rsidR="00C03DC8" w:rsidRPr="00333ECB">
        <w:rPr>
          <w:rFonts w:ascii="Arial" w:hAnsi="Arial" w:cs="Arial"/>
          <w:i/>
          <w:iCs/>
          <w:sz w:val="20"/>
          <w:szCs w:val="20"/>
        </w:rPr>
        <w:t>poor</w:t>
      </w:r>
      <w:proofErr w:type="spellEnd"/>
      <w:r w:rsidR="00C03DC8" w:rsidRPr="00333ECB">
        <w:rPr>
          <w:rFonts w:ascii="Arial" w:hAnsi="Arial" w:cs="Arial"/>
          <w:i/>
          <w:iCs/>
          <w:sz w:val="20"/>
          <w:szCs w:val="20"/>
        </w:rPr>
        <w:t xml:space="preserve"> </w:t>
      </w:r>
      <w:proofErr w:type="spellStart"/>
      <w:r w:rsidR="00C03DC8" w:rsidRPr="00333ECB">
        <w:rPr>
          <w:rFonts w:ascii="Arial" w:hAnsi="Arial" w:cs="Arial"/>
          <w:i/>
          <w:iCs/>
          <w:sz w:val="20"/>
          <w:szCs w:val="20"/>
        </w:rPr>
        <w:t>value</w:t>
      </w:r>
      <w:proofErr w:type="spellEnd"/>
      <w:r w:rsidR="00C03DC8" w:rsidRPr="00333ECB">
        <w:rPr>
          <w:rFonts w:ascii="Arial" w:hAnsi="Arial" w:cs="Arial"/>
          <w:i/>
          <w:iCs/>
          <w:sz w:val="20"/>
          <w:szCs w:val="20"/>
        </w:rPr>
        <w:t xml:space="preserve"> </w:t>
      </w:r>
      <w:proofErr w:type="spellStart"/>
      <w:r w:rsidR="00C03DC8" w:rsidRPr="00333ECB">
        <w:rPr>
          <w:rFonts w:ascii="Arial" w:hAnsi="Arial" w:cs="Arial"/>
          <w:i/>
          <w:iCs/>
          <w:sz w:val="20"/>
          <w:szCs w:val="20"/>
        </w:rPr>
        <w:t>for</w:t>
      </w:r>
      <w:proofErr w:type="spellEnd"/>
      <w:r w:rsidR="00C03DC8" w:rsidRPr="00333ECB">
        <w:rPr>
          <w:rFonts w:ascii="Arial" w:hAnsi="Arial" w:cs="Arial"/>
          <w:i/>
          <w:iCs/>
          <w:sz w:val="20"/>
          <w:szCs w:val="20"/>
        </w:rPr>
        <w:t xml:space="preserve"> </w:t>
      </w:r>
      <w:proofErr w:type="spellStart"/>
      <w:r w:rsidR="00C03DC8" w:rsidRPr="00333ECB">
        <w:rPr>
          <w:rFonts w:ascii="Arial" w:hAnsi="Arial" w:cs="Arial"/>
          <w:i/>
          <w:iCs/>
          <w:sz w:val="20"/>
          <w:szCs w:val="20"/>
        </w:rPr>
        <w:t>money</w:t>
      </w:r>
      <w:proofErr w:type="spellEnd"/>
      <w:r w:rsidR="00C03DC8" w:rsidRPr="00333ECB">
        <w:rPr>
          <w:rFonts w:ascii="Arial" w:hAnsi="Arial" w:cs="Arial"/>
          <w:sz w:val="20"/>
          <w:szCs w:val="20"/>
        </w:rPr>
        <w:t>)</w:t>
      </w:r>
      <w:r w:rsidRPr="00333ECB">
        <w:rPr>
          <w:rFonts w:ascii="Arial" w:hAnsi="Arial" w:cs="Arial"/>
          <w:sz w:val="20"/>
          <w:szCs w:val="20"/>
        </w:rPr>
        <w:t>;</w:t>
      </w:r>
    </w:p>
    <w:bookmarkEnd w:id="4"/>
    <w:p w14:paraId="3EC86F92" w14:textId="4F5ADD0D" w:rsidR="00ED232A" w:rsidRPr="00333ECB" w:rsidRDefault="00ED232A" w:rsidP="00780C4D">
      <w:pPr>
        <w:pStyle w:val="ListParagraph"/>
        <w:numPr>
          <w:ilvl w:val="2"/>
          <w:numId w:val="9"/>
        </w:numPr>
        <w:tabs>
          <w:tab w:val="left" w:pos="0"/>
          <w:tab w:val="left" w:pos="284"/>
          <w:tab w:val="left" w:pos="567"/>
          <w:tab w:val="left" w:pos="1134"/>
        </w:tabs>
        <w:spacing w:after="0" w:line="240" w:lineRule="auto"/>
        <w:ind w:left="0" w:firstLine="0"/>
        <w:jc w:val="both"/>
        <w:rPr>
          <w:rFonts w:ascii="Arial" w:hAnsi="Arial" w:cs="Arial"/>
          <w:sz w:val="20"/>
          <w:szCs w:val="20"/>
        </w:rPr>
      </w:pPr>
      <w:r w:rsidRPr="00333ECB">
        <w:rPr>
          <w:rFonts w:ascii="Arial" w:hAnsi="Arial" w:cs="Arial"/>
          <w:sz w:val="20"/>
          <w:szCs w:val="20"/>
        </w:rPr>
        <w:t xml:space="preserve">Atitikties rizika – </w:t>
      </w:r>
      <w:r w:rsidR="00C862C3" w:rsidRPr="00333ECB">
        <w:rPr>
          <w:rFonts w:ascii="Arial" w:hAnsi="Arial" w:cs="Arial"/>
          <w:sz w:val="20"/>
          <w:szCs w:val="20"/>
        </w:rPr>
        <w:t xml:space="preserve">rizika, kylanti dėl to, kad </w:t>
      </w:r>
      <w:r w:rsidRPr="00333ECB">
        <w:rPr>
          <w:rFonts w:ascii="Arial" w:hAnsi="Arial" w:cs="Arial"/>
          <w:sz w:val="20"/>
          <w:szCs w:val="20"/>
        </w:rPr>
        <w:t xml:space="preserve">nesiimama tinkamų priemonių teisiniam ar </w:t>
      </w:r>
      <w:r w:rsidR="00C862C3" w:rsidRPr="00333ECB">
        <w:rPr>
          <w:rFonts w:ascii="Arial" w:hAnsi="Arial" w:cs="Arial"/>
          <w:sz w:val="20"/>
          <w:szCs w:val="20"/>
        </w:rPr>
        <w:t xml:space="preserve">norminiam </w:t>
      </w:r>
      <w:r w:rsidRPr="00333ECB">
        <w:rPr>
          <w:rFonts w:ascii="Arial" w:hAnsi="Arial" w:cs="Arial"/>
          <w:sz w:val="20"/>
          <w:szCs w:val="20"/>
        </w:rPr>
        <w:t>reikalavimui įvykdyti;</w:t>
      </w:r>
    </w:p>
    <w:p w14:paraId="7D555A4C" w14:textId="10E4DA8A" w:rsidR="0035400B" w:rsidRPr="00271F9D" w:rsidRDefault="00ED232A" w:rsidP="00780C4D">
      <w:pPr>
        <w:pStyle w:val="ListParagraph"/>
        <w:numPr>
          <w:ilvl w:val="2"/>
          <w:numId w:val="9"/>
        </w:numPr>
        <w:tabs>
          <w:tab w:val="left" w:pos="0"/>
          <w:tab w:val="left" w:pos="284"/>
          <w:tab w:val="left" w:pos="567"/>
          <w:tab w:val="left" w:pos="1134"/>
        </w:tabs>
        <w:spacing w:after="0" w:line="240" w:lineRule="auto"/>
        <w:ind w:left="0" w:firstLine="0"/>
        <w:jc w:val="both"/>
        <w:rPr>
          <w:rFonts w:ascii="Arial" w:hAnsi="Arial" w:cs="Arial"/>
          <w:sz w:val="20"/>
          <w:szCs w:val="20"/>
        </w:rPr>
      </w:pPr>
      <w:proofErr w:type="spellStart"/>
      <w:r w:rsidRPr="00333ECB">
        <w:rPr>
          <w:rFonts w:ascii="Arial" w:hAnsi="Arial" w:cs="Arial"/>
          <w:sz w:val="20"/>
          <w:szCs w:val="20"/>
        </w:rPr>
        <w:t>Reputacinė</w:t>
      </w:r>
      <w:proofErr w:type="spellEnd"/>
      <w:r w:rsidRPr="00333ECB">
        <w:rPr>
          <w:rFonts w:ascii="Arial" w:hAnsi="Arial" w:cs="Arial"/>
          <w:sz w:val="20"/>
          <w:szCs w:val="20"/>
        </w:rPr>
        <w:t xml:space="preserve"> rizika – rizika, kylanti dėl nepa</w:t>
      </w:r>
      <w:r w:rsidR="002B67ED" w:rsidRPr="00333ECB">
        <w:rPr>
          <w:rFonts w:ascii="Arial" w:hAnsi="Arial" w:cs="Arial"/>
          <w:sz w:val="20"/>
          <w:szCs w:val="20"/>
        </w:rPr>
        <w:t>geidaujamų</w:t>
      </w:r>
      <w:r w:rsidRPr="00333ECB">
        <w:rPr>
          <w:rFonts w:ascii="Arial" w:hAnsi="Arial" w:cs="Arial"/>
          <w:sz w:val="20"/>
          <w:szCs w:val="20"/>
        </w:rPr>
        <w:t xml:space="preserve"> įvykių, įskaitant etinius</w:t>
      </w:r>
      <w:r w:rsidRPr="00E251D8">
        <w:rPr>
          <w:rFonts w:ascii="Arial" w:hAnsi="Arial" w:cs="Arial"/>
          <w:sz w:val="20"/>
          <w:szCs w:val="20"/>
        </w:rPr>
        <w:t xml:space="preserve"> pažeidimus, tvarumo trūkumą, sistemin</w:t>
      </w:r>
      <w:r w:rsidR="002B67ED">
        <w:rPr>
          <w:rFonts w:ascii="Arial" w:hAnsi="Arial" w:cs="Arial"/>
          <w:sz w:val="20"/>
          <w:szCs w:val="20"/>
        </w:rPr>
        <w:t>ius</w:t>
      </w:r>
      <w:r w:rsidRPr="00E251D8">
        <w:rPr>
          <w:rFonts w:ascii="Arial" w:hAnsi="Arial" w:cs="Arial"/>
          <w:sz w:val="20"/>
          <w:szCs w:val="20"/>
        </w:rPr>
        <w:t xml:space="preserve"> ar pasikartojanči</w:t>
      </w:r>
      <w:r w:rsidR="002B67ED">
        <w:rPr>
          <w:rFonts w:ascii="Arial" w:hAnsi="Arial" w:cs="Arial"/>
          <w:sz w:val="20"/>
          <w:szCs w:val="20"/>
        </w:rPr>
        <w:t>u</w:t>
      </w:r>
      <w:r w:rsidRPr="00E251D8">
        <w:rPr>
          <w:rFonts w:ascii="Arial" w:hAnsi="Arial" w:cs="Arial"/>
          <w:sz w:val="20"/>
          <w:szCs w:val="20"/>
        </w:rPr>
        <w:t xml:space="preserve">s </w:t>
      </w:r>
      <w:r w:rsidR="002B67ED">
        <w:rPr>
          <w:rFonts w:ascii="Arial" w:hAnsi="Arial" w:cs="Arial"/>
          <w:sz w:val="20"/>
          <w:szCs w:val="20"/>
        </w:rPr>
        <w:t>trūkumus</w:t>
      </w:r>
      <w:r w:rsidRPr="00E251D8">
        <w:rPr>
          <w:rFonts w:ascii="Arial" w:hAnsi="Arial" w:cs="Arial"/>
          <w:sz w:val="20"/>
          <w:szCs w:val="20"/>
        </w:rPr>
        <w:t xml:space="preserve"> ar prastą kokybę ar inovacijų trūkumą, dėl kuri</w:t>
      </w:r>
      <w:r w:rsidR="002B67ED">
        <w:rPr>
          <w:rFonts w:ascii="Arial" w:hAnsi="Arial" w:cs="Arial"/>
          <w:sz w:val="20"/>
          <w:szCs w:val="20"/>
        </w:rPr>
        <w:t>ų</w:t>
      </w:r>
      <w:r w:rsidRPr="00E251D8">
        <w:rPr>
          <w:rFonts w:ascii="Arial" w:hAnsi="Arial" w:cs="Arial"/>
          <w:sz w:val="20"/>
          <w:szCs w:val="20"/>
        </w:rPr>
        <w:t xml:space="preserve"> pakenkiama reputacijai ir </w:t>
      </w:r>
      <w:r w:rsidR="002B67ED">
        <w:rPr>
          <w:rFonts w:ascii="Arial" w:hAnsi="Arial" w:cs="Arial"/>
          <w:sz w:val="20"/>
          <w:szCs w:val="20"/>
        </w:rPr>
        <w:t>(</w:t>
      </w:r>
      <w:r w:rsidRPr="00E251D8">
        <w:rPr>
          <w:rFonts w:ascii="Arial" w:hAnsi="Arial" w:cs="Arial"/>
          <w:sz w:val="20"/>
          <w:szCs w:val="20"/>
        </w:rPr>
        <w:t>ar</w:t>
      </w:r>
      <w:r w:rsidR="002B67ED">
        <w:rPr>
          <w:rFonts w:ascii="Arial" w:hAnsi="Arial" w:cs="Arial"/>
          <w:sz w:val="20"/>
          <w:szCs w:val="20"/>
        </w:rPr>
        <w:t>)</w:t>
      </w:r>
      <w:r w:rsidRPr="00E251D8">
        <w:rPr>
          <w:rFonts w:ascii="Arial" w:hAnsi="Arial" w:cs="Arial"/>
          <w:sz w:val="20"/>
          <w:szCs w:val="20"/>
        </w:rPr>
        <w:t xml:space="preserve"> sunaikinamas pasitikėjimas bei </w:t>
      </w:r>
      <w:r w:rsidRPr="00271F9D">
        <w:rPr>
          <w:rFonts w:ascii="Arial" w:hAnsi="Arial" w:cs="Arial"/>
          <w:sz w:val="20"/>
          <w:szCs w:val="20"/>
        </w:rPr>
        <w:t>santykiai.</w:t>
      </w:r>
    </w:p>
    <w:p w14:paraId="158B6F34" w14:textId="5F862C71" w:rsidR="00B41012" w:rsidRDefault="00B147CC" w:rsidP="00B147CC">
      <w:pPr>
        <w:pStyle w:val="ListParagraph"/>
        <w:tabs>
          <w:tab w:val="left" w:pos="426"/>
          <w:tab w:val="left" w:pos="567"/>
          <w:tab w:val="left" w:pos="993"/>
        </w:tabs>
        <w:spacing w:after="0" w:line="240" w:lineRule="auto"/>
        <w:ind w:left="0"/>
        <w:contextualSpacing w:val="0"/>
        <w:jc w:val="both"/>
        <w:rPr>
          <w:rFonts w:ascii="Arial" w:hAnsi="Arial" w:cs="Arial"/>
          <w:b/>
          <w:bCs/>
          <w:sz w:val="20"/>
          <w:szCs w:val="20"/>
        </w:rPr>
      </w:pPr>
      <w:r>
        <w:rPr>
          <w:rFonts w:ascii="Arial" w:hAnsi="Arial" w:cs="Arial"/>
          <w:b/>
          <w:bCs/>
          <w:sz w:val="20"/>
          <w:szCs w:val="20"/>
        </w:rPr>
        <w:t xml:space="preserve">4.4. </w:t>
      </w:r>
      <w:r w:rsidR="00B41012" w:rsidRPr="00271F9D">
        <w:rPr>
          <w:rFonts w:ascii="Arial" w:hAnsi="Arial" w:cs="Arial"/>
          <w:b/>
          <w:bCs/>
          <w:sz w:val="20"/>
          <w:szCs w:val="20"/>
        </w:rPr>
        <w:t>Rizikos apetito nustatymui naudojama skalė</w:t>
      </w:r>
      <w:r w:rsidR="00762A35" w:rsidRPr="00271F9D">
        <w:rPr>
          <w:rStyle w:val="FootnoteReference"/>
          <w:rFonts w:ascii="Arial" w:hAnsi="Arial" w:cs="Arial"/>
          <w:b/>
          <w:bCs/>
          <w:sz w:val="20"/>
          <w:szCs w:val="20"/>
        </w:rPr>
        <w:footnoteReference w:id="2"/>
      </w:r>
      <w:r w:rsidR="00B41012" w:rsidRPr="00271F9D">
        <w:rPr>
          <w:rFonts w:ascii="Arial" w:hAnsi="Arial" w:cs="Arial"/>
          <w:b/>
          <w:bCs/>
          <w:sz w:val="20"/>
          <w:szCs w:val="20"/>
        </w:rPr>
        <w:t>:</w:t>
      </w:r>
    </w:p>
    <w:p w14:paraId="124D1E50" w14:textId="77777777" w:rsidR="00FA69EF" w:rsidRPr="00271F9D" w:rsidRDefault="00FA69EF" w:rsidP="00837C92">
      <w:pPr>
        <w:pStyle w:val="ListParagraph"/>
        <w:tabs>
          <w:tab w:val="left" w:pos="426"/>
          <w:tab w:val="left" w:pos="567"/>
          <w:tab w:val="left" w:pos="993"/>
        </w:tabs>
        <w:spacing w:after="0" w:line="240" w:lineRule="auto"/>
        <w:ind w:left="0"/>
        <w:contextualSpacing w:val="0"/>
        <w:jc w:val="both"/>
        <w:rPr>
          <w:rFonts w:ascii="Arial" w:hAnsi="Arial" w:cs="Arial"/>
          <w:b/>
          <w:bCs/>
          <w:sz w:val="20"/>
          <w:szCs w:val="20"/>
        </w:rPr>
      </w:pPr>
    </w:p>
    <w:tbl>
      <w:tblPr>
        <w:tblW w:w="9586" w:type="dxa"/>
        <w:tblCellMar>
          <w:left w:w="0" w:type="dxa"/>
          <w:right w:w="0" w:type="dxa"/>
        </w:tblCellMar>
        <w:tblLook w:val="0420" w:firstRow="1" w:lastRow="0" w:firstColumn="0" w:lastColumn="0" w:noHBand="0" w:noVBand="1"/>
      </w:tblPr>
      <w:tblGrid>
        <w:gridCol w:w="1656"/>
        <w:gridCol w:w="1655"/>
        <w:gridCol w:w="1707"/>
        <w:gridCol w:w="1338"/>
        <w:gridCol w:w="1611"/>
        <w:gridCol w:w="1619"/>
      </w:tblGrid>
      <w:tr w:rsidR="00275210" w:rsidRPr="00271F9D" w14:paraId="5ABBB37B" w14:textId="77777777" w:rsidTr="006A0C5B">
        <w:trPr>
          <w:trHeight w:val="481"/>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35D57D"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294BEDB6" w14:textId="314A5EA7"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lang w:val="en-US"/>
              </w:rPr>
              <w:t>5</w:t>
            </w:r>
          </w:p>
          <w:p w14:paraId="60EB15AA" w14:textId="0D1E06F6"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rPr>
              <w:t>Atviras</w:t>
            </w:r>
          </w:p>
          <w:p w14:paraId="35AAFD97" w14:textId="77777777"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lang w:val="en-US"/>
              </w:rPr>
              <w:t>20-25</w:t>
            </w:r>
          </w:p>
        </w:tc>
        <w:tc>
          <w:tcPr>
            <w:tcW w:w="183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7BCF53BB" w14:textId="53FDBA1F"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lang w:val="en-US"/>
              </w:rPr>
              <w:t>4</w:t>
            </w:r>
          </w:p>
          <w:p w14:paraId="5BCC30E2" w14:textId="47DA1E4A"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rPr>
              <w:t>Lankstus</w:t>
            </w:r>
          </w:p>
          <w:p w14:paraId="437C22FF" w14:textId="77777777"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lang w:val="en-US"/>
              </w:rPr>
              <w:t>15-16</w:t>
            </w:r>
          </w:p>
        </w:tc>
        <w:tc>
          <w:tcPr>
            <w:tcW w:w="135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14:paraId="0C5762C3" w14:textId="15C8CD5C"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lang w:val="en-US"/>
              </w:rPr>
              <w:t>3</w:t>
            </w:r>
          </w:p>
          <w:p w14:paraId="0F748951" w14:textId="537AF90B"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rPr>
              <w:t>Atsargus</w:t>
            </w:r>
          </w:p>
          <w:p w14:paraId="04C49DEE" w14:textId="77777777"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lang w:val="en-US"/>
              </w:rPr>
              <w:t>8-12</w:t>
            </w:r>
          </w:p>
        </w:tc>
        <w:tc>
          <w:tcPr>
            <w:tcW w:w="1524"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05EB5B1A" w14:textId="2FB104CC"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lang w:val="en-US"/>
              </w:rPr>
              <w:t>2</w:t>
            </w:r>
          </w:p>
          <w:p w14:paraId="3112AB4B" w14:textId="3511CBDE"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rPr>
              <w:t>Minimalistinis</w:t>
            </w:r>
          </w:p>
          <w:p w14:paraId="34423496" w14:textId="77777777"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lang w:val="en-US"/>
              </w:rPr>
              <w:t>4-6</w:t>
            </w:r>
          </w:p>
        </w:tc>
        <w:tc>
          <w:tcPr>
            <w:tcW w:w="162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6AE83E40" w14:textId="06C6E19D"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lang w:val="en-US"/>
              </w:rPr>
              <w:t>1</w:t>
            </w:r>
          </w:p>
          <w:p w14:paraId="6AA8FC55" w14:textId="16C9EEF9"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rPr>
              <w:t>Vengiantis</w:t>
            </w:r>
          </w:p>
          <w:p w14:paraId="6FE5360C" w14:textId="77777777" w:rsidR="00B41012" w:rsidRPr="00271F9D" w:rsidRDefault="00B41012" w:rsidP="006A0C5B">
            <w:pPr>
              <w:widowControl w:val="0"/>
              <w:tabs>
                <w:tab w:val="left" w:pos="567"/>
              </w:tabs>
              <w:spacing w:after="0" w:line="240" w:lineRule="auto"/>
              <w:jc w:val="center"/>
              <w:rPr>
                <w:rFonts w:ascii="Arial" w:hAnsi="Arial" w:cs="Arial"/>
                <w:sz w:val="20"/>
                <w:szCs w:val="20"/>
              </w:rPr>
            </w:pPr>
            <w:r w:rsidRPr="00271F9D">
              <w:rPr>
                <w:rFonts w:ascii="Arial" w:hAnsi="Arial" w:cs="Arial"/>
                <w:b/>
                <w:bCs/>
                <w:sz w:val="20"/>
                <w:szCs w:val="20"/>
                <w:lang w:val="en-US"/>
              </w:rPr>
              <w:t>1-3</w:t>
            </w:r>
          </w:p>
        </w:tc>
      </w:tr>
      <w:tr w:rsidR="00275210" w:rsidRPr="00271F9D" w14:paraId="64F33DC2" w14:textId="77777777" w:rsidTr="006A0C5B">
        <w:trPr>
          <w:trHeight w:val="204"/>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9D5F21"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Bendras apibūdinimas</w:t>
            </w:r>
          </w:p>
        </w:tc>
        <w:tc>
          <w:tcPr>
            <w:tcW w:w="1843" w:type="dxa"/>
            <w:tcBorders>
              <w:top w:val="single" w:sz="8" w:space="0" w:color="000000"/>
              <w:left w:val="single" w:sz="8" w:space="0" w:color="000000"/>
              <w:bottom w:val="single" w:sz="8" w:space="0" w:color="000000"/>
              <w:right w:val="single" w:sz="8" w:space="0" w:color="000000"/>
            </w:tcBorders>
            <w:shd w:val="clear" w:color="auto" w:fill="CDFFE4"/>
            <w:tcMar>
              <w:top w:w="72" w:type="dxa"/>
              <w:left w:w="144" w:type="dxa"/>
              <w:bottom w:w="72" w:type="dxa"/>
              <w:right w:w="144" w:type="dxa"/>
            </w:tcMar>
            <w:hideMark/>
          </w:tcPr>
          <w:p w14:paraId="19577D83"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Siekia būti novatoriškas ir pasirinkti variantus su potencialiai aukštesne nauda, ​​nepaisant didesnės būdingos rizikos.</w:t>
            </w:r>
          </w:p>
        </w:tc>
        <w:tc>
          <w:tcPr>
            <w:tcW w:w="1835" w:type="dxa"/>
            <w:tcBorders>
              <w:top w:val="single" w:sz="8" w:space="0" w:color="000000"/>
              <w:left w:val="single" w:sz="8" w:space="0" w:color="000000"/>
              <w:bottom w:val="single" w:sz="8" w:space="0" w:color="000000"/>
              <w:right w:val="single" w:sz="8" w:space="0" w:color="000000"/>
            </w:tcBorders>
            <w:shd w:val="clear" w:color="auto" w:fill="CCE9AD"/>
            <w:tcMar>
              <w:top w:w="72" w:type="dxa"/>
              <w:left w:w="144" w:type="dxa"/>
              <w:bottom w:w="72" w:type="dxa"/>
              <w:right w:w="144" w:type="dxa"/>
            </w:tcMar>
            <w:hideMark/>
          </w:tcPr>
          <w:p w14:paraId="4C76BC44"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Nori apsvarstyti visus galimus variantus ir pasirinkti tikėtina sėkmingiausią variantą, užtikrinantį priimtiną naudos lygį.</w:t>
            </w:r>
          </w:p>
        </w:tc>
        <w:tc>
          <w:tcPr>
            <w:tcW w:w="1351" w:type="dxa"/>
            <w:tcBorders>
              <w:top w:val="single" w:sz="8" w:space="0" w:color="000000"/>
              <w:left w:val="single" w:sz="8" w:space="0" w:color="000000"/>
              <w:bottom w:val="single" w:sz="8" w:space="0" w:color="000000"/>
              <w:right w:val="single" w:sz="8" w:space="0" w:color="000000"/>
            </w:tcBorders>
            <w:shd w:val="clear" w:color="auto" w:fill="FFFF97"/>
            <w:tcMar>
              <w:top w:w="72" w:type="dxa"/>
              <w:left w:w="144" w:type="dxa"/>
              <w:bottom w:w="72" w:type="dxa"/>
              <w:right w:w="144" w:type="dxa"/>
            </w:tcMar>
            <w:hideMark/>
          </w:tcPr>
          <w:p w14:paraId="022166F5"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Pirmenybė teikiama saugiems variantams, kurie turi žemą rizikos lygį ir gali turėti ribotą naudos potencialą.</w:t>
            </w:r>
          </w:p>
        </w:tc>
        <w:tc>
          <w:tcPr>
            <w:tcW w:w="1524" w:type="dxa"/>
            <w:tcBorders>
              <w:top w:val="single" w:sz="8" w:space="0" w:color="000000"/>
              <w:left w:val="single" w:sz="8" w:space="0" w:color="000000"/>
              <w:bottom w:val="single" w:sz="8" w:space="0" w:color="000000"/>
              <w:right w:val="single" w:sz="8" w:space="0" w:color="000000"/>
            </w:tcBorders>
            <w:shd w:val="clear" w:color="auto" w:fill="FFE38B"/>
            <w:tcMar>
              <w:top w:w="72" w:type="dxa"/>
              <w:left w:w="144" w:type="dxa"/>
              <w:bottom w:w="72" w:type="dxa"/>
              <w:right w:w="144" w:type="dxa"/>
            </w:tcMar>
            <w:hideMark/>
          </w:tcPr>
          <w:p w14:paraId="567767D8"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Itin saugūs žemos rizikos variantai, kurie gali turėti tik ribotą naudos potencialą.</w:t>
            </w:r>
          </w:p>
        </w:tc>
        <w:tc>
          <w:tcPr>
            <w:tcW w:w="1625" w:type="dxa"/>
            <w:tcBorders>
              <w:top w:val="single" w:sz="8" w:space="0" w:color="000000"/>
              <w:left w:val="single" w:sz="8" w:space="0" w:color="000000"/>
              <w:bottom w:val="single" w:sz="8" w:space="0" w:color="000000"/>
              <w:right w:val="single" w:sz="8" w:space="0" w:color="000000"/>
            </w:tcBorders>
            <w:shd w:val="clear" w:color="auto" w:fill="FF8F8F"/>
            <w:tcMar>
              <w:top w:w="72" w:type="dxa"/>
              <w:left w:w="144" w:type="dxa"/>
              <w:bottom w:w="72" w:type="dxa"/>
              <w:right w:w="144" w:type="dxa"/>
            </w:tcMar>
            <w:hideMark/>
          </w:tcPr>
          <w:p w14:paraId="3DD7B512"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Rizikos ir neapibrėžtumo vengimas yra pagrindinis organizacijos tikslas.</w:t>
            </w:r>
          </w:p>
        </w:tc>
      </w:tr>
      <w:tr w:rsidR="00275210" w:rsidRPr="00271F9D" w14:paraId="35F6B031" w14:textId="77777777" w:rsidTr="006A0C5B">
        <w:trPr>
          <w:trHeight w:val="81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48994A"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 xml:space="preserve">Filosofija </w:t>
            </w:r>
          </w:p>
        </w:tc>
        <w:tc>
          <w:tcPr>
            <w:tcW w:w="1843" w:type="dxa"/>
            <w:tcBorders>
              <w:top w:val="single" w:sz="8" w:space="0" w:color="000000"/>
              <w:left w:val="single" w:sz="8" w:space="0" w:color="000000"/>
              <w:bottom w:val="single" w:sz="8" w:space="0" w:color="000000"/>
              <w:right w:val="single" w:sz="8" w:space="0" w:color="000000"/>
            </w:tcBorders>
            <w:shd w:val="clear" w:color="auto" w:fill="CDFFE4"/>
            <w:tcMar>
              <w:top w:w="72" w:type="dxa"/>
              <w:left w:w="144" w:type="dxa"/>
              <w:bottom w:w="72" w:type="dxa"/>
              <w:right w:w="144" w:type="dxa"/>
            </w:tcMar>
            <w:hideMark/>
          </w:tcPr>
          <w:p w14:paraId="1D2D60A3"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Prisiimti pagrįstas rizikas</w:t>
            </w:r>
          </w:p>
        </w:tc>
        <w:tc>
          <w:tcPr>
            <w:tcW w:w="1835" w:type="dxa"/>
            <w:tcBorders>
              <w:top w:val="single" w:sz="8" w:space="0" w:color="000000"/>
              <w:left w:val="single" w:sz="8" w:space="0" w:color="000000"/>
              <w:bottom w:val="single" w:sz="8" w:space="0" w:color="000000"/>
              <w:right w:val="single" w:sz="8" w:space="0" w:color="000000"/>
            </w:tcBorders>
            <w:shd w:val="clear" w:color="auto" w:fill="CCE9AD"/>
            <w:tcMar>
              <w:top w:w="72" w:type="dxa"/>
              <w:left w:w="144" w:type="dxa"/>
              <w:bottom w:w="72" w:type="dxa"/>
              <w:right w:w="144" w:type="dxa"/>
            </w:tcMar>
            <w:hideMark/>
          </w:tcPr>
          <w:p w14:paraId="70E0FBE4"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Prisiimti ypač pagrįstas rizikas</w:t>
            </w:r>
          </w:p>
        </w:tc>
        <w:tc>
          <w:tcPr>
            <w:tcW w:w="1351" w:type="dxa"/>
            <w:tcBorders>
              <w:top w:val="single" w:sz="8" w:space="0" w:color="000000"/>
              <w:left w:val="single" w:sz="8" w:space="0" w:color="000000"/>
              <w:bottom w:val="single" w:sz="8" w:space="0" w:color="000000"/>
              <w:right w:val="single" w:sz="8" w:space="0" w:color="000000"/>
            </w:tcBorders>
            <w:shd w:val="clear" w:color="auto" w:fill="FFFF97"/>
            <w:tcMar>
              <w:top w:w="72" w:type="dxa"/>
              <w:left w:w="144" w:type="dxa"/>
              <w:bottom w:w="72" w:type="dxa"/>
              <w:right w:w="144" w:type="dxa"/>
            </w:tcMar>
            <w:hideMark/>
          </w:tcPr>
          <w:p w14:paraId="022C6041"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Pirmenybė saugiems variantams</w:t>
            </w:r>
          </w:p>
        </w:tc>
        <w:tc>
          <w:tcPr>
            <w:tcW w:w="1524" w:type="dxa"/>
            <w:tcBorders>
              <w:top w:val="single" w:sz="8" w:space="0" w:color="000000"/>
              <w:left w:val="single" w:sz="8" w:space="0" w:color="000000"/>
              <w:bottom w:val="single" w:sz="8" w:space="0" w:color="000000"/>
              <w:right w:val="single" w:sz="8" w:space="0" w:color="000000"/>
            </w:tcBorders>
            <w:shd w:val="clear" w:color="auto" w:fill="FFE38B"/>
            <w:tcMar>
              <w:top w:w="72" w:type="dxa"/>
              <w:left w:w="144" w:type="dxa"/>
              <w:bottom w:w="72" w:type="dxa"/>
              <w:right w:w="144" w:type="dxa"/>
            </w:tcMar>
            <w:hideMark/>
          </w:tcPr>
          <w:p w14:paraId="7B754BFE"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Ypač konservatyvus požiūris į rizikų prisiėmimą</w:t>
            </w:r>
          </w:p>
        </w:tc>
        <w:tc>
          <w:tcPr>
            <w:tcW w:w="1625" w:type="dxa"/>
            <w:tcBorders>
              <w:top w:val="single" w:sz="8" w:space="0" w:color="000000"/>
              <w:left w:val="single" w:sz="8" w:space="0" w:color="000000"/>
              <w:bottom w:val="single" w:sz="8" w:space="0" w:color="000000"/>
              <w:right w:val="single" w:sz="8" w:space="0" w:color="000000"/>
            </w:tcBorders>
            <w:shd w:val="clear" w:color="auto" w:fill="FF8F8F"/>
            <w:tcMar>
              <w:top w:w="72" w:type="dxa"/>
              <w:left w:w="144" w:type="dxa"/>
              <w:bottom w:w="72" w:type="dxa"/>
              <w:right w:w="144" w:type="dxa"/>
            </w:tcMar>
            <w:hideMark/>
          </w:tcPr>
          <w:p w14:paraId="5DF139D3"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Pagrindinis tikslas – rizikų vengimas</w:t>
            </w:r>
          </w:p>
        </w:tc>
      </w:tr>
      <w:tr w:rsidR="00275210" w:rsidRPr="00271F9D" w14:paraId="13DBB68B" w14:textId="77777777" w:rsidTr="006A0C5B">
        <w:trPr>
          <w:trHeight w:val="393"/>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F6D36D"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Tolerancija neapibrėžtumui</w:t>
            </w:r>
          </w:p>
        </w:tc>
        <w:tc>
          <w:tcPr>
            <w:tcW w:w="1843" w:type="dxa"/>
            <w:tcBorders>
              <w:top w:val="single" w:sz="8" w:space="0" w:color="000000"/>
              <w:left w:val="single" w:sz="8" w:space="0" w:color="000000"/>
              <w:bottom w:val="single" w:sz="8" w:space="0" w:color="000000"/>
              <w:right w:val="single" w:sz="8" w:space="0" w:color="000000"/>
            </w:tcBorders>
            <w:shd w:val="clear" w:color="auto" w:fill="CDFFE4"/>
            <w:tcMar>
              <w:top w:w="72" w:type="dxa"/>
              <w:left w:w="144" w:type="dxa"/>
              <w:bottom w:w="72" w:type="dxa"/>
              <w:right w:w="144" w:type="dxa"/>
            </w:tcMar>
            <w:hideMark/>
          </w:tcPr>
          <w:p w14:paraId="5F19F4B5"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Visiškai numatoma</w:t>
            </w:r>
          </w:p>
        </w:tc>
        <w:tc>
          <w:tcPr>
            <w:tcW w:w="1835" w:type="dxa"/>
            <w:tcBorders>
              <w:top w:val="single" w:sz="8" w:space="0" w:color="000000"/>
              <w:left w:val="single" w:sz="8" w:space="0" w:color="000000"/>
              <w:bottom w:val="single" w:sz="8" w:space="0" w:color="000000"/>
              <w:right w:val="single" w:sz="8" w:space="0" w:color="000000"/>
            </w:tcBorders>
            <w:shd w:val="clear" w:color="auto" w:fill="CCE9AD"/>
            <w:tcMar>
              <w:top w:w="72" w:type="dxa"/>
              <w:left w:w="144" w:type="dxa"/>
              <w:bottom w:w="72" w:type="dxa"/>
              <w:right w:w="144" w:type="dxa"/>
            </w:tcMar>
            <w:hideMark/>
          </w:tcPr>
          <w:p w14:paraId="01CDA431"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Kažkiek tikimasi</w:t>
            </w:r>
          </w:p>
        </w:tc>
        <w:tc>
          <w:tcPr>
            <w:tcW w:w="1351" w:type="dxa"/>
            <w:tcBorders>
              <w:top w:val="single" w:sz="8" w:space="0" w:color="000000"/>
              <w:left w:val="single" w:sz="8" w:space="0" w:color="000000"/>
              <w:bottom w:val="single" w:sz="8" w:space="0" w:color="000000"/>
              <w:right w:val="single" w:sz="8" w:space="0" w:color="000000"/>
            </w:tcBorders>
            <w:shd w:val="clear" w:color="auto" w:fill="FFFF97"/>
            <w:tcMar>
              <w:top w:w="72" w:type="dxa"/>
              <w:left w:w="144" w:type="dxa"/>
              <w:bottom w:w="72" w:type="dxa"/>
              <w:right w:w="144" w:type="dxa"/>
            </w:tcMar>
            <w:hideMark/>
          </w:tcPr>
          <w:p w14:paraId="49209682"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 xml:space="preserve">Ribota </w:t>
            </w:r>
          </w:p>
        </w:tc>
        <w:tc>
          <w:tcPr>
            <w:tcW w:w="1524" w:type="dxa"/>
            <w:tcBorders>
              <w:top w:val="single" w:sz="8" w:space="0" w:color="000000"/>
              <w:left w:val="single" w:sz="8" w:space="0" w:color="000000"/>
              <w:bottom w:val="single" w:sz="8" w:space="0" w:color="000000"/>
              <w:right w:val="single" w:sz="8" w:space="0" w:color="000000"/>
            </w:tcBorders>
            <w:shd w:val="clear" w:color="auto" w:fill="FFE38B"/>
            <w:tcMar>
              <w:top w:w="72" w:type="dxa"/>
              <w:left w:w="144" w:type="dxa"/>
              <w:bottom w:w="72" w:type="dxa"/>
              <w:right w:w="144" w:type="dxa"/>
            </w:tcMar>
            <w:hideMark/>
          </w:tcPr>
          <w:p w14:paraId="023AE79A"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 xml:space="preserve">Žema </w:t>
            </w:r>
          </w:p>
        </w:tc>
        <w:tc>
          <w:tcPr>
            <w:tcW w:w="1625" w:type="dxa"/>
            <w:tcBorders>
              <w:top w:val="single" w:sz="8" w:space="0" w:color="000000"/>
              <w:left w:val="single" w:sz="8" w:space="0" w:color="000000"/>
              <w:bottom w:val="single" w:sz="8" w:space="0" w:color="000000"/>
              <w:right w:val="single" w:sz="8" w:space="0" w:color="000000"/>
            </w:tcBorders>
            <w:shd w:val="clear" w:color="auto" w:fill="FF8F8F"/>
            <w:tcMar>
              <w:top w:w="72" w:type="dxa"/>
              <w:left w:w="144" w:type="dxa"/>
              <w:bottom w:w="72" w:type="dxa"/>
              <w:right w:w="144" w:type="dxa"/>
            </w:tcMar>
            <w:hideMark/>
          </w:tcPr>
          <w:p w14:paraId="28D3B86B"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Ypač žema</w:t>
            </w:r>
          </w:p>
        </w:tc>
      </w:tr>
      <w:tr w:rsidR="00275210" w:rsidRPr="00271F9D" w14:paraId="4E4A6F14" w14:textId="77777777" w:rsidTr="006A0C5B">
        <w:trPr>
          <w:trHeight w:val="940"/>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5A8DED"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 xml:space="preserve">Pasirinkimas </w:t>
            </w:r>
          </w:p>
          <w:p w14:paraId="3003A03B"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i/>
                <w:iCs/>
                <w:sz w:val="20"/>
                <w:szCs w:val="20"/>
              </w:rPr>
              <w:t>kai susiduriama su keliais variantais</w:t>
            </w:r>
          </w:p>
        </w:tc>
        <w:tc>
          <w:tcPr>
            <w:tcW w:w="1843" w:type="dxa"/>
            <w:tcBorders>
              <w:top w:val="single" w:sz="8" w:space="0" w:color="000000"/>
              <w:left w:val="single" w:sz="8" w:space="0" w:color="000000"/>
              <w:bottom w:val="single" w:sz="8" w:space="0" w:color="000000"/>
              <w:right w:val="single" w:sz="8" w:space="0" w:color="000000"/>
            </w:tcBorders>
            <w:shd w:val="clear" w:color="auto" w:fill="CDFFE4"/>
            <w:tcMar>
              <w:top w:w="72" w:type="dxa"/>
              <w:left w:w="144" w:type="dxa"/>
              <w:bottom w:w="72" w:type="dxa"/>
              <w:right w:w="144" w:type="dxa"/>
            </w:tcMar>
            <w:hideMark/>
          </w:tcPr>
          <w:p w14:paraId="1626B6D3"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Pasirinkti aukščiausios naudos variantą priimant nesėkmės tikimybę</w:t>
            </w:r>
          </w:p>
        </w:tc>
        <w:tc>
          <w:tcPr>
            <w:tcW w:w="1835" w:type="dxa"/>
            <w:tcBorders>
              <w:top w:val="single" w:sz="8" w:space="0" w:color="000000"/>
              <w:left w:val="single" w:sz="8" w:space="0" w:color="000000"/>
              <w:bottom w:val="single" w:sz="8" w:space="0" w:color="000000"/>
              <w:right w:val="single" w:sz="8" w:space="0" w:color="000000"/>
            </w:tcBorders>
            <w:shd w:val="clear" w:color="auto" w:fill="CCE9AD"/>
            <w:tcMar>
              <w:top w:w="72" w:type="dxa"/>
              <w:left w:w="144" w:type="dxa"/>
              <w:bottom w:w="72" w:type="dxa"/>
              <w:right w:w="144" w:type="dxa"/>
            </w:tcMar>
            <w:hideMark/>
          </w:tcPr>
          <w:p w14:paraId="664089C0"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Pasirinkti rizikuoti, bet valdyti poveikį</w:t>
            </w:r>
          </w:p>
        </w:tc>
        <w:tc>
          <w:tcPr>
            <w:tcW w:w="1351" w:type="dxa"/>
            <w:tcBorders>
              <w:top w:val="single" w:sz="8" w:space="0" w:color="000000"/>
              <w:left w:val="single" w:sz="8" w:space="0" w:color="000000"/>
              <w:bottom w:val="single" w:sz="8" w:space="0" w:color="000000"/>
              <w:right w:val="single" w:sz="8" w:space="0" w:color="000000"/>
            </w:tcBorders>
            <w:shd w:val="clear" w:color="auto" w:fill="FFFF97"/>
            <w:tcMar>
              <w:top w:w="72" w:type="dxa"/>
              <w:left w:w="144" w:type="dxa"/>
              <w:bottom w:w="72" w:type="dxa"/>
              <w:right w:w="144" w:type="dxa"/>
            </w:tcMar>
            <w:hideMark/>
          </w:tcPr>
          <w:p w14:paraId="54F1876E"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Priimti, jei rizika ribota ir nauda ženkliai didesnė</w:t>
            </w:r>
          </w:p>
        </w:tc>
        <w:tc>
          <w:tcPr>
            <w:tcW w:w="1524" w:type="dxa"/>
            <w:tcBorders>
              <w:top w:val="single" w:sz="8" w:space="0" w:color="000000"/>
              <w:left w:val="single" w:sz="8" w:space="0" w:color="000000"/>
              <w:bottom w:val="single" w:sz="8" w:space="0" w:color="000000"/>
              <w:right w:val="single" w:sz="8" w:space="0" w:color="000000"/>
            </w:tcBorders>
            <w:shd w:val="clear" w:color="auto" w:fill="FFE38B"/>
            <w:tcMar>
              <w:top w:w="72" w:type="dxa"/>
              <w:left w:w="144" w:type="dxa"/>
              <w:bottom w:w="72" w:type="dxa"/>
              <w:right w:w="144" w:type="dxa"/>
            </w:tcMar>
            <w:hideMark/>
          </w:tcPr>
          <w:p w14:paraId="50E56A64"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Priimti tik jei būtina ir ribota nesėkmės tikimybė</w:t>
            </w:r>
          </w:p>
        </w:tc>
        <w:tc>
          <w:tcPr>
            <w:tcW w:w="1625" w:type="dxa"/>
            <w:tcBorders>
              <w:top w:val="single" w:sz="8" w:space="0" w:color="000000"/>
              <w:left w:val="single" w:sz="8" w:space="0" w:color="000000"/>
              <w:bottom w:val="single" w:sz="8" w:space="0" w:color="000000"/>
              <w:right w:val="single" w:sz="8" w:space="0" w:color="000000"/>
            </w:tcBorders>
            <w:shd w:val="clear" w:color="auto" w:fill="FF8F8F"/>
            <w:tcMar>
              <w:top w:w="72" w:type="dxa"/>
              <w:left w:w="144" w:type="dxa"/>
              <w:bottom w:w="72" w:type="dxa"/>
              <w:right w:w="144" w:type="dxa"/>
            </w:tcMar>
            <w:hideMark/>
          </w:tcPr>
          <w:p w14:paraId="0C2F5998"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Visada rinktis žemiausios rizikos variantą</w:t>
            </w:r>
          </w:p>
        </w:tc>
      </w:tr>
      <w:tr w:rsidR="00275210" w:rsidRPr="00271F9D" w14:paraId="326E3459" w14:textId="77777777" w:rsidTr="006A0C5B">
        <w:trPr>
          <w:trHeight w:val="603"/>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67618F"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 xml:space="preserve">Kompromisas </w:t>
            </w:r>
            <w:r w:rsidRPr="00271F9D">
              <w:rPr>
                <w:rFonts w:ascii="Arial" w:hAnsi="Arial" w:cs="Arial"/>
                <w:i/>
                <w:iCs/>
                <w:sz w:val="20"/>
                <w:szCs w:val="20"/>
              </w:rPr>
              <w:t>siekiant kitų tikslų</w:t>
            </w:r>
          </w:p>
        </w:tc>
        <w:tc>
          <w:tcPr>
            <w:tcW w:w="1843" w:type="dxa"/>
            <w:tcBorders>
              <w:top w:val="single" w:sz="8" w:space="0" w:color="000000"/>
              <w:left w:val="single" w:sz="8" w:space="0" w:color="000000"/>
              <w:bottom w:val="single" w:sz="8" w:space="0" w:color="000000"/>
              <w:right w:val="single" w:sz="8" w:space="0" w:color="000000"/>
            </w:tcBorders>
            <w:shd w:val="clear" w:color="auto" w:fill="CDFFE4"/>
            <w:tcMar>
              <w:top w:w="72" w:type="dxa"/>
              <w:left w:w="144" w:type="dxa"/>
              <w:bottom w:w="72" w:type="dxa"/>
              <w:right w:w="144" w:type="dxa"/>
            </w:tcMar>
            <w:hideMark/>
          </w:tcPr>
          <w:p w14:paraId="7E16804A"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 xml:space="preserve">Priimamas </w:t>
            </w:r>
          </w:p>
        </w:tc>
        <w:tc>
          <w:tcPr>
            <w:tcW w:w="1835" w:type="dxa"/>
            <w:tcBorders>
              <w:top w:val="single" w:sz="8" w:space="0" w:color="000000"/>
              <w:left w:val="single" w:sz="8" w:space="0" w:color="000000"/>
              <w:bottom w:val="single" w:sz="8" w:space="0" w:color="000000"/>
              <w:right w:val="single" w:sz="8" w:space="0" w:color="000000"/>
            </w:tcBorders>
            <w:shd w:val="clear" w:color="auto" w:fill="CCE9AD"/>
            <w:tcMar>
              <w:top w:w="72" w:type="dxa"/>
              <w:left w:w="144" w:type="dxa"/>
              <w:bottom w:w="72" w:type="dxa"/>
              <w:right w:w="144" w:type="dxa"/>
            </w:tcMar>
            <w:hideMark/>
          </w:tcPr>
          <w:p w14:paraId="404492D1"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Priimamas tam tikromis sąlygomis</w:t>
            </w:r>
          </w:p>
        </w:tc>
        <w:tc>
          <w:tcPr>
            <w:tcW w:w="1351" w:type="dxa"/>
            <w:tcBorders>
              <w:top w:val="single" w:sz="8" w:space="0" w:color="000000"/>
              <w:left w:val="single" w:sz="8" w:space="0" w:color="000000"/>
              <w:bottom w:val="single" w:sz="8" w:space="0" w:color="000000"/>
              <w:right w:val="single" w:sz="8" w:space="0" w:color="000000"/>
            </w:tcBorders>
            <w:shd w:val="clear" w:color="auto" w:fill="FFFF97"/>
            <w:tcMar>
              <w:top w:w="72" w:type="dxa"/>
              <w:left w:w="144" w:type="dxa"/>
              <w:bottom w:w="72" w:type="dxa"/>
              <w:right w:w="144" w:type="dxa"/>
            </w:tcMar>
            <w:hideMark/>
          </w:tcPr>
          <w:p w14:paraId="21C12030"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Siekiama vengti</w:t>
            </w:r>
          </w:p>
        </w:tc>
        <w:tc>
          <w:tcPr>
            <w:tcW w:w="1524" w:type="dxa"/>
            <w:tcBorders>
              <w:top w:val="single" w:sz="8" w:space="0" w:color="000000"/>
              <w:left w:val="single" w:sz="8" w:space="0" w:color="000000"/>
              <w:bottom w:val="single" w:sz="8" w:space="0" w:color="000000"/>
              <w:right w:val="single" w:sz="8" w:space="0" w:color="000000"/>
            </w:tcBorders>
            <w:shd w:val="clear" w:color="auto" w:fill="FFE38B"/>
            <w:tcMar>
              <w:top w:w="72" w:type="dxa"/>
              <w:left w:w="144" w:type="dxa"/>
              <w:bottom w:w="72" w:type="dxa"/>
              <w:right w:w="144" w:type="dxa"/>
            </w:tcMar>
            <w:hideMark/>
          </w:tcPr>
          <w:p w14:paraId="08FC9720"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Priimamas su dideliu nenoru</w:t>
            </w:r>
          </w:p>
        </w:tc>
        <w:tc>
          <w:tcPr>
            <w:tcW w:w="1625" w:type="dxa"/>
            <w:tcBorders>
              <w:top w:val="single" w:sz="8" w:space="0" w:color="000000"/>
              <w:left w:val="single" w:sz="8" w:space="0" w:color="000000"/>
              <w:bottom w:val="single" w:sz="8" w:space="0" w:color="000000"/>
              <w:right w:val="single" w:sz="8" w:space="0" w:color="000000"/>
            </w:tcBorders>
            <w:shd w:val="clear" w:color="auto" w:fill="FF8F8F"/>
            <w:tcMar>
              <w:top w:w="72" w:type="dxa"/>
              <w:left w:w="144" w:type="dxa"/>
              <w:bottom w:w="72" w:type="dxa"/>
              <w:right w:w="144" w:type="dxa"/>
            </w:tcMar>
            <w:hideMark/>
          </w:tcPr>
          <w:p w14:paraId="5D3E5741" w14:textId="77777777" w:rsidR="00B41012" w:rsidRPr="00271F9D" w:rsidRDefault="00B41012" w:rsidP="006A0C5B">
            <w:pPr>
              <w:widowControl w:val="0"/>
              <w:tabs>
                <w:tab w:val="left" w:pos="567"/>
              </w:tabs>
              <w:spacing w:after="0" w:line="240" w:lineRule="auto"/>
              <w:jc w:val="both"/>
              <w:rPr>
                <w:rFonts w:ascii="Arial" w:hAnsi="Arial" w:cs="Arial"/>
                <w:sz w:val="20"/>
                <w:szCs w:val="20"/>
              </w:rPr>
            </w:pPr>
            <w:r w:rsidRPr="00271F9D">
              <w:rPr>
                <w:rFonts w:ascii="Arial" w:hAnsi="Arial" w:cs="Arial"/>
                <w:sz w:val="20"/>
                <w:szCs w:val="20"/>
              </w:rPr>
              <w:t xml:space="preserve">Niekada </w:t>
            </w:r>
          </w:p>
        </w:tc>
      </w:tr>
    </w:tbl>
    <w:p w14:paraId="7140C571" w14:textId="77777777" w:rsidR="00B41012" w:rsidRPr="00271F9D" w:rsidRDefault="00B41012" w:rsidP="00B41012">
      <w:pPr>
        <w:tabs>
          <w:tab w:val="left" w:pos="567"/>
        </w:tabs>
        <w:spacing w:after="0" w:line="240" w:lineRule="auto"/>
        <w:jc w:val="both"/>
        <w:rPr>
          <w:rFonts w:ascii="Arial" w:hAnsi="Arial" w:cs="Arial"/>
          <w:sz w:val="20"/>
          <w:szCs w:val="20"/>
        </w:rPr>
      </w:pPr>
    </w:p>
    <w:p w14:paraId="5CE36667" w14:textId="27D5F61F" w:rsidR="00B41012" w:rsidRPr="00271F9D" w:rsidRDefault="00B41012" w:rsidP="00B147CC">
      <w:pPr>
        <w:pStyle w:val="ListParagraph"/>
        <w:numPr>
          <w:ilvl w:val="1"/>
          <w:numId w:val="36"/>
        </w:numPr>
        <w:tabs>
          <w:tab w:val="left" w:pos="0"/>
          <w:tab w:val="left" w:pos="426"/>
          <w:tab w:val="left" w:pos="993"/>
        </w:tabs>
        <w:spacing w:after="0" w:line="240" w:lineRule="auto"/>
        <w:ind w:left="0" w:firstLine="0"/>
        <w:contextualSpacing w:val="0"/>
        <w:jc w:val="both"/>
        <w:rPr>
          <w:rFonts w:ascii="Arial" w:hAnsi="Arial" w:cs="Arial"/>
          <w:sz w:val="20"/>
          <w:szCs w:val="20"/>
        </w:rPr>
      </w:pPr>
      <w:r w:rsidRPr="00271F9D">
        <w:rPr>
          <w:rFonts w:ascii="Arial" w:hAnsi="Arial" w:cs="Arial"/>
          <w:sz w:val="20"/>
          <w:szCs w:val="20"/>
        </w:rPr>
        <w:t>Bendrovės darbuotojai turi užtikrinti, kad dėl priimamų sprendimų nekiltų didesnė rizika, nei nustatytas rizikos apetitas.</w:t>
      </w:r>
      <w:r w:rsidRPr="00271F9D" w:rsidDel="003C7188">
        <w:rPr>
          <w:rFonts w:ascii="Arial" w:hAnsi="Arial" w:cs="Arial"/>
          <w:sz w:val="20"/>
          <w:szCs w:val="20"/>
        </w:rPr>
        <w:t xml:space="preserve"> </w:t>
      </w:r>
    </w:p>
    <w:p w14:paraId="7EEA7730" w14:textId="683153D5" w:rsidR="00A833FB" w:rsidRPr="00271F9D" w:rsidRDefault="00A833FB" w:rsidP="00B147CC">
      <w:pPr>
        <w:pStyle w:val="Heading1"/>
        <w:numPr>
          <w:ilvl w:val="0"/>
          <w:numId w:val="36"/>
        </w:numPr>
        <w:spacing w:after="240" w:line="240" w:lineRule="auto"/>
        <w:ind w:left="357" w:hanging="357"/>
        <w:jc w:val="both"/>
        <w:rPr>
          <w:rFonts w:ascii="Arial" w:eastAsia="Times New Roman" w:hAnsi="Arial" w:cs="Arial"/>
          <w:b/>
          <w:bCs/>
          <w:color w:val="auto"/>
          <w:sz w:val="20"/>
          <w:szCs w:val="20"/>
          <w:lang w:eastAsia="lt-LT"/>
        </w:rPr>
      </w:pPr>
      <w:r w:rsidRPr="00271F9D">
        <w:rPr>
          <w:rFonts w:ascii="Arial" w:eastAsia="Times New Roman" w:hAnsi="Arial" w:cs="Arial"/>
          <w:b/>
          <w:bCs/>
          <w:color w:val="auto"/>
          <w:sz w:val="20"/>
          <w:szCs w:val="20"/>
          <w:lang w:eastAsia="lt-LT"/>
        </w:rPr>
        <w:lastRenderedPageBreak/>
        <w:t>RIZIKOS VALDYMO PROCESAI</w:t>
      </w:r>
    </w:p>
    <w:p w14:paraId="2BD8FDDA" w14:textId="36FBC654" w:rsidR="00DE08D8" w:rsidRPr="00271F9D" w:rsidRDefault="00DE08D8" w:rsidP="000070E5">
      <w:pPr>
        <w:pStyle w:val="ListParagraph"/>
        <w:numPr>
          <w:ilvl w:val="1"/>
          <w:numId w:val="10"/>
        </w:numPr>
        <w:tabs>
          <w:tab w:val="left" w:pos="0"/>
          <w:tab w:val="left" w:pos="284"/>
          <w:tab w:val="left" w:pos="426"/>
          <w:tab w:val="left" w:pos="993"/>
          <w:tab w:val="left" w:pos="1701"/>
        </w:tabs>
        <w:spacing w:after="0" w:line="240" w:lineRule="auto"/>
        <w:ind w:left="0" w:firstLine="0"/>
        <w:contextualSpacing w:val="0"/>
        <w:jc w:val="both"/>
        <w:rPr>
          <w:rFonts w:ascii="Arial" w:hAnsi="Arial" w:cs="Arial"/>
          <w:sz w:val="20"/>
          <w:szCs w:val="20"/>
        </w:rPr>
      </w:pPr>
      <w:r w:rsidRPr="00271F9D">
        <w:rPr>
          <w:rFonts w:ascii="Arial" w:hAnsi="Arial" w:cs="Arial"/>
          <w:sz w:val="20"/>
          <w:szCs w:val="20"/>
        </w:rPr>
        <w:t>Rizika yra natūrali vykdomos veiklos dalis. Bendrovė negali rizikos išvengti, tačiau aktyviai, prieinamomis priemonėmis, siekia išanalizuoti ir įvertinti aplinkybes, galinčias lemti rizikos pasireiškimą, valdyti pasireiškimo tikimybę ir/ar poveikį.</w:t>
      </w:r>
    </w:p>
    <w:p w14:paraId="0C81CDBD" w14:textId="205DE69A" w:rsidR="00C40AD2" w:rsidRPr="00FA69EF" w:rsidRDefault="00837C92" w:rsidP="00837C92">
      <w:pPr>
        <w:pStyle w:val="ListParagraph"/>
        <w:tabs>
          <w:tab w:val="left" w:pos="426"/>
          <w:tab w:val="left" w:pos="993"/>
        </w:tabs>
        <w:spacing w:after="0" w:line="240" w:lineRule="auto"/>
        <w:ind w:left="0"/>
        <w:contextualSpacing w:val="0"/>
        <w:jc w:val="both"/>
        <w:rPr>
          <w:rFonts w:ascii="Arial" w:hAnsi="Arial" w:cs="Arial"/>
          <w:sz w:val="20"/>
        </w:rPr>
      </w:pPr>
      <w:r>
        <w:rPr>
          <w:rFonts w:ascii="Arial" w:hAnsi="Arial" w:cs="Arial"/>
          <w:sz w:val="20"/>
        </w:rPr>
        <w:t xml:space="preserve">5.2. </w:t>
      </w:r>
      <w:r w:rsidR="00C40AD2" w:rsidRPr="00271F9D">
        <w:rPr>
          <w:rFonts w:ascii="Arial" w:hAnsi="Arial" w:cs="Arial"/>
          <w:sz w:val="20"/>
        </w:rPr>
        <w:t xml:space="preserve">Rizikos valdymo </w:t>
      </w:r>
      <w:r w:rsidR="00C40AD2" w:rsidRPr="00271F9D">
        <w:rPr>
          <w:rFonts w:ascii="Arial" w:hAnsi="Arial" w:cs="Arial"/>
          <w:sz w:val="20"/>
          <w:szCs w:val="20"/>
        </w:rPr>
        <w:t>procesai:</w:t>
      </w:r>
    </w:p>
    <w:p w14:paraId="0FC10971" w14:textId="77777777" w:rsidR="00FA69EF" w:rsidRPr="00271F9D" w:rsidRDefault="00FA69EF" w:rsidP="00837C92">
      <w:pPr>
        <w:pStyle w:val="ListParagraph"/>
        <w:tabs>
          <w:tab w:val="left" w:pos="426"/>
          <w:tab w:val="left" w:pos="993"/>
        </w:tabs>
        <w:spacing w:after="0" w:line="240" w:lineRule="auto"/>
        <w:ind w:left="0"/>
        <w:contextualSpacing w:val="0"/>
        <w:jc w:val="both"/>
        <w:rPr>
          <w:rFonts w:ascii="Arial" w:hAnsi="Arial" w:cs="Arial"/>
          <w:sz w:val="20"/>
        </w:rPr>
      </w:pPr>
    </w:p>
    <w:p w14:paraId="299B01C6" w14:textId="77777777" w:rsidR="0035400B" w:rsidRPr="00271F9D" w:rsidRDefault="0035400B" w:rsidP="006A0C5B">
      <w:pPr>
        <w:tabs>
          <w:tab w:val="left" w:pos="426"/>
        </w:tabs>
        <w:spacing w:after="0" w:line="240" w:lineRule="auto"/>
        <w:jc w:val="center"/>
        <w:rPr>
          <w:rFonts w:ascii="Arial" w:hAnsi="Arial" w:cs="Arial"/>
          <w:sz w:val="20"/>
          <w:szCs w:val="20"/>
        </w:rPr>
      </w:pPr>
      <w:r w:rsidRPr="00271F9D">
        <w:rPr>
          <w:rFonts w:ascii="Arial" w:hAnsi="Arial" w:cs="Arial"/>
          <w:noProof/>
          <w:sz w:val="20"/>
          <w:szCs w:val="20"/>
          <w:lang w:eastAsia="lt-LT"/>
        </w:rPr>
        <w:drawing>
          <wp:inline distT="0" distB="0" distL="0" distR="0" wp14:anchorId="1F281B24" wp14:editId="53AB01A2">
            <wp:extent cx="2790825" cy="3076079"/>
            <wp:effectExtent l="0" t="0" r="0" b="0"/>
            <wp:docPr id="17" name="Picture 1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 schematic&#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7162" cy="3138175"/>
                    </a:xfrm>
                    <a:prstGeom prst="rect">
                      <a:avLst/>
                    </a:prstGeom>
                    <a:noFill/>
                  </pic:spPr>
                </pic:pic>
              </a:graphicData>
            </a:graphic>
          </wp:inline>
        </w:drawing>
      </w:r>
    </w:p>
    <w:p w14:paraId="3A9FCA7E" w14:textId="2D6D4B0B" w:rsidR="0035400B" w:rsidRPr="00837C92" w:rsidRDefault="0035400B" w:rsidP="00837C92">
      <w:pPr>
        <w:pStyle w:val="ListParagraph"/>
        <w:numPr>
          <w:ilvl w:val="0"/>
          <w:numId w:val="35"/>
        </w:numPr>
        <w:tabs>
          <w:tab w:val="left" w:pos="1134"/>
        </w:tabs>
        <w:jc w:val="center"/>
        <w:rPr>
          <w:rFonts w:ascii="Arial" w:hAnsi="Arial" w:cs="Arial"/>
          <w:sz w:val="20"/>
          <w:szCs w:val="20"/>
        </w:rPr>
      </w:pPr>
      <w:r w:rsidRPr="00837C92">
        <w:rPr>
          <w:rFonts w:ascii="Arial" w:hAnsi="Arial" w:cs="Arial"/>
          <w:sz w:val="20"/>
          <w:szCs w:val="20"/>
        </w:rPr>
        <w:t xml:space="preserve">pav. Rizikos valdymo </w:t>
      </w:r>
      <w:r w:rsidRPr="00837C92">
        <w:rPr>
          <w:rFonts w:ascii="Arial" w:hAnsi="Arial" w:cs="Arial"/>
          <w:sz w:val="20"/>
          <w:szCs w:val="20"/>
          <w:lang w:eastAsia="lt-LT"/>
        </w:rPr>
        <w:t>procesai</w:t>
      </w:r>
    </w:p>
    <w:p w14:paraId="11F8429C" w14:textId="77777777" w:rsidR="00F86C74" w:rsidRPr="00F86C74" w:rsidRDefault="00F86C74" w:rsidP="00F86C74">
      <w:pPr>
        <w:pStyle w:val="ListParagraph"/>
        <w:tabs>
          <w:tab w:val="left" w:pos="567"/>
          <w:tab w:val="left" w:pos="851"/>
          <w:tab w:val="left" w:pos="1134"/>
          <w:tab w:val="left" w:pos="1560"/>
        </w:tabs>
        <w:spacing w:after="0" w:line="240" w:lineRule="auto"/>
        <w:ind w:left="0"/>
        <w:contextualSpacing w:val="0"/>
        <w:jc w:val="both"/>
        <w:rPr>
          <w:rFonts w:ascii="Arial" w:hAnsi="Arial" w:cs="Arial"/>
          <w:sz w:val="20"/>
          <w:szCs w:val="20"/>
        </w:rPr>
      </w:pPr>
    </w:p>
    <w:p w14:paraId="3B824361" w14:textId="59CFBFA7" w:rsidR="00837C92" w:rsidRDefault="002918CC" w:rsidP="00B147CC">
      <w:pPr>
        <w:pStyle w:val="ListParagraph"/>
        <w:numPr>
          <w:ilvl w:val="2"/>
          <w:numId w:val="36"/>
        </w:numPr>
        <w:tabs>
          <w:tab w:val="left" w:pos="567"/>
          <w:tab w:val="left" w:pos="851"/>
          <w:tab w:val="left" w:pos="1134"/>
          <w:tab w:val="left" w:pos="1560"/>
        </w:tabs>
        <w:spacing w:after="0" w:line="240" w:lineRule="auto"/>
        <w:ind w:left="0" w:firstLine="0"/>
        <w:contextualSpacing w:val="0"/>
        <w:jc w:val="both"/>
        <w:rPr>
          <w:rFonts w:ascii="Arial" w:hAnsi="Arial" w:cs="Arial"/>
          <w:sz w:val="20"/>
          <w:szCs w:val="20"/>
        </w:rPr>
      </w:pPr>
      <w:r w:rsidRPr="00F73802">
        <w:rPr>
          <w:rFonts w:ascii="Arial" w:hAnsi="Arial" w:cs="Arial"/>
          <w:b/>
          <w:bCs/>
          <w:sz w:val="20"/>
          <w:szCs w:val="20"/>
        </w:rPr>
        <w:t>Taikymo srities, konteksto ir kriterijų nustatymo procesas:</w:t>
      </w:r>
      <w:r w:rsidRPr="00F73802">
        <w:rPr>
          <w:rFonts w:ascii="Arial" w:hAnsi="Arial" w:cs="Arial"/>
          <w:sz w:val="20"/>
          <w:szCs w:val="20"/>
        </w:rPr>
        <w:t xml:space="preserve"> </w:t>
      </w:r>
      <w:r w:rsidR="00C91950" w:rsidRPr="00F73802">
        <w:rPr>
          <w:rFonts w:ascii="Arial" w:hAnsi="Arial" w:cs="Arial"/>
          <w:sz w:val="20"/>
          <w:szCs w:val="20"/>
        </w:rPr>
        <w:t>nustato</w:t>
      </w:r>
      <w:r w:rsidR="00A95B5A" w:rsidRPr="00F73802">
        <w:rPr>
          <w:rFonts w:ascii="Arial" w:hAnsi="Arial" w:cs="Arial"/>
          <w:sz w:val="20"/>
          <w:szCs w:val="20"/>
        </w:rPr>
        <w:t>mi</w:t>
      </w:r>
      <w:r w:rsidR="00C91950" w:rsidRPr="00F73802">
        <w:rPr>
          <w:rFonts w:ascii="Arial" w:hAnsi="Arial" w:cs="Arial"/>
          <w:sz w:val="20"/>
          <w:szCs w:val="20"/>
        </w:rPr>
        <w:t xml:space="preserve"> </w:t>
      </w:r>
      <w:r w:rsidR="00FD5035" w:rsidRPr="00F73802">
        <w:rPr>
          <w:rFonts w:ascii="Arial" w:hAnsi="Arial" w:cs="Arial"/>
          <w:sz w:val="20"/>
          <w:szCs w:val="20"/>
        </w:rPr>
        <w:t>r</w:t>
      </w:r>
      <w:r w:rsidR="00C91950" w:rsidRPr="00F73802">
        <w:rPr>
          <w:rFonts w:ascii="Arial" w:hAnsi="Arial" w:cs="Arial"/>
          <w:sz w:val="20"/>
          <w:szCs w:val="20"/>
        </w:rPr>
        <w:t>izik</w:t>
      </w:r>
      <w:r w:rsidR="00525BA6" w:rsidRPr="00F73802">
        <w:rPr>
          <w:rFonts w:ascii="Arial" w:hAnsi="Arial" w:cs="Arial"/>
          <w:sz w:val="20"/>
          <w:szCs w:val="20"/>
        </w:rPr>
        <w:t>os</w:t>
      </w:r>
      <w:r w:rsidR="00C91950" w:rsidRPr="00F73802">
        <w:rPr>
          <w:rFonts w:ascii="Arial" w:hAnsi="Arial" w:cs="Arial"/>
          <w:sz w:val="20"/>
          <w:szCs w:val="20"/>
        </w:rPr>
        <w:t xml:space="preserve"> valdymo dalyvi</w:t>
      </w:r>
      <w:r w:rsidR="00A95B5A" w:rsidRPr="00F73802">
        <w:rPr>
          <w:rFonts w:ascii="Arial" w:hAnsi="Arial" w:cs="Arial"/>
          <w:sz w:val="20"/>
          <w:szCs w:val="20"/>
        </w:rPr>
        <w:t>ai</w:t>
      </w:r>
      <w:r w:rsidR="00C91950" w:rsidRPr="00F73802">
        <w:rPr>
          <w:rFonts w:ascii="Arial" w:hAnsi="Arial" w:cs="Arial"/>
          <w:sz w:val="20"/>
          <w:szCs w:val="20"/>
        </w:rPr>
        <w:t>,</w:t>
      </w:r>
      <w:r w:rsidR="001C423F" w:rsidRPr="00F73802">
        <w:rPr>
          <w:rFonts w:ascii="Arial" w:hAnsi="Arial" w:cs="Arial"/>
          <w:sz w:val="20"/>
          <w:szCs w:val="20"/>
        </w:rPr>
        <w:t xml:space="preserve"> </w:t>
      </w:r>
      <w:r w:rsidR="00C91950" w:rsidRPr="00F73802">
        <w:rPr>
          <w:rFonts w:ascii="Arial" w:hAnsi="Arial" w:cs="Arial"/>
          <w:sz w:val="20"/>
          <w:szCs w:val="20"/>
        </w:rPr>
        <w:t>apimt</w:t>
      </w:r>
      <w:r w:rsidR="00A95B5A" w:rsidRPr="00F73802">
        <w:rPr>
          <w:rFonts w:ascii="Arial" w:hAnsi="Arial" w:cs="Arial"/>
          <w:sz w:val="20"/>
          <w:szCs w:val="20"/>
        </w:rPr>
        <w:t>is</w:t>
      </w:r>
      <w:r w:rsidR="00C91950" w:rsidRPr="00F73802">
        <w:rPr>
          <w:rFonts w:ascii="Arial" w:hAnsi="Arial" w:cs="Arial"/>
          <w:sz w:val="20"/>
          <w:szCs w:val="20"/>
        </w:rPr>
        <w:t xml:space="preserve"> ir rizik</w:t>
      </w:r>
      <w:r w:rsidR="00525BA6" w:rsidRPr="00F73802">
        <w:rPr>
          <w:rFonts w:ascii="Arial" w:hAnsi="Arial" w:cs="Arial"/>
          <w:sz w:val="20"/>
          <w:szCs w:val="20"/>
        </w:rPr>
        <w:t>os</w:t>
      </w:r>
      <w:r w:rsidR="00C91950" w:rsidRPr="00F73802">
        <w:rPr>
          <w:rFonts w:ascii="Arial" w:hAnsi="Arial" w:cs="Arial"/>
          <w:sz w:val="20"/>
          <w:szCs w:val="20"/>
        </w:rPr>
        <w:t xml:space="preserve"> vertinimo kriterij</w:t>
      </w:r>
      <w:r w:rsidR="00A95B5A" w:rsidRPr="00F73802">
        <w:rPr>
          <w:rFonts w:ascii="Arial" w:hAnsi="Arial" w:cs="Arial"/>
          <w:sz w:val="20"/>
          <w:szCs w:val="20"/>
        </w:rPr>
        <w:t>ai</w:t>
      </w:r>
      <w:r w:rsidR="00E62D41" w:rsidRPr="00F73802">
        <w:rPr>
          <w:rFonts w:ascii="Arial" w:hAnsi="Arial" w:cs="Arial"/>
          <w:sz w:val="20"/>
          <w:szCs w:val="20"/>
        </w:rPr>
        <w:t xml:space="preserve">, </w:t>
      </w:r>
      <w:r w:rsidR="00A95B5A" w:rsidRPr="00F73802">
        <w:rPr>
          <w:rFonts w:ascii="Arial" w:hAnsi="Arial" w:cs="Arial"/>
          <w:sz w:val="20"/>
          <w:szCs w:val="20"/>
        </w:rPr>
        <w:t>remiantis</w:t>
      </w:r>
      <w:r w:rsidR="001922E3" w:rsidRPr="00F73802">
        <w:rPr>
          <w:rFonts w:ascii="Arial" w:hAnsi="Arial" w:cs="Arial"/>
          <w:sz w:val="20"/>
          <w:szCs w:val="20"/>
        </w:rPr>
        <w:t xml:space="preserve"> Bendrovės vidinės</w:t>
      </w:r>
      <w:r w:rsidR="00E62D41" w:rsidRPr="00F73802">
        <w:rPr>
          <w:rFonts w:ascii="Arial" w:hAnsi="Arial" w:cs="Arial"/>
          <w:sz w:val="20"/>
          <w:szCs w:val="20"/>
        </w:rPr>
        <w:t xml:space="preserve"> bei išorin</w:t>
      </w:r>
      <w:r w:rsidR="001922E3" w:rsidRPr="00F73802">
        <w:rPr>
          <w:rFonts w:ascii="Arial" w:hAnsi="Arial" w:cs="Arial"/>
          <w:sz w:val="20"/>
          <w:szCs w:val="20"/>
        </w:rPr>
        <w:t>ės aplinkos analize</w:t>
      </w:r>
      <w:r w:rsidR="00E62D41" w:rsidRPr="00F73802">
        <w:rPr>
          <w:rFonts w:ascii="Arial" w:hAnsi="Arial" w:cs="Arial"/>
          <w:sz w:val="20"/>
          <w:szCs w:val="20"/>
        </w:rPr>
        <w:t>, istoriniais rizikos vertinimo ir jų valdymo priemonių įgyvendinimo rezultatais</w:t>
      </w:r>
      <w:r w:rsidR="00C91950" w:rsidRPr="00F73802">
        <w:rPr>
          <w:rFonts w:ascii="Arial" w:hAnsi="Arial" w:cs="Arial"/>
          <w:sz w:val="20"/>
          <w:szCs w:val="20"/>
        </w:rPr>
        <w:t>;</w:t>
      </w:r>
    </w:p>
    <w:p w14:paraId="4D0AED93" w14:textId="5BEA1EF9" w:rsidR="00C91950" w:rsidRPr="00333ECB" w:rsidRDefault="002918CC" w:rsidP="00B147CC">
      <w:pPr>
        <w:pStyle w:val="ListParagraph"/>
        <w:numPr>
          <w:ilvl w:val="2"/>
          <w:numId w:val="36"/>
        </w:numPr>
        <w:tabs>
          <w:tab w:val="left" w:pos="567"/>
          <w:tab w:val="left" w:pos="851"/>
          <w:tab w:val="left" w:pos="1134"/>
          <w:tab w:val="left" w:pos="1560"/>
        </w:tabs>
        <w:spacing w:after="0" w:line="240" w:lineRule="auto"/>
        <w:ind w:left="0" w:firstLine="0"/>
        <w:contextualSpacing w:val="0"/>
        <w:jc w:val="both"/>
        <w:rPr>
          <w:rFonts w:ascii="Arial" w:hAnsi="Arial" w:cs="Arial"/>
          <w:sz w:val="20"/>
          <w:szCs w:val="20"/>
        </w:rPr>
      </w:pPr>
      <w:r w:rsidRPr="00837C92">
        <w:rPr>
          <w:rFonts w:ascii="Arial" w:hAnsi="Arial" w:cs="Arial"/>
          <w:b/>
          <w:bCs/>
          <w:sz w:val="20"/>
          <w:szCs w:val="20"/>
        </w:rPr>
        <w:t>Rizikos vertinimo procesas</w:t>
      </w:r>
      <w:r w:rsidRPr="00837C92">
        <w:rPr>
          <w:rFonts w:ascii="Arial" w:hAnsi="Arial" w:cs="Arial"/>
          <w:sz w:val="20"/>
          <w:szCs w:val="20"/>
        </w:rPr>
        <w:t xml:space="preserve">: </w:t>
      </w:r>
      <w:r w:rsidR="00C91950" w:rsidRPr="00837C92">
        <w:rPr>
          <w:rFonts w:ascii="Arial" w:hAnsi="Arial" w:cs="Arial"/>
          <w:sz w:val="20"/>
          <w:szCs w:val="20"/>
        </w:rPr>
        <w:t>reguliariai identifikuoja</w:t>
      </w:r>
      <w:r w:rsidR="00A95B5A" w:rsidRPr="00837C92">
        <w:rPr>
          <w:rFonts w:ascii="Arial" w:hAnsi="Arial" w:cs="Arial"/>
          <w:sz w:val="20"/>
          <w:szCs w:val="20"/>
        </w:rPr>
        <w:t>mos</w:t>
      </w:r>
      <w:r w:rsidR="00D7268B" w:rsidRPr="00837C92">
        <w:rPr>
          <w:rFonts w:ascii="Arial" w:hAnsi="Arial" w:cs="Arial"/>
          <w:sz w:val="20"/>
          <w:szCs w:val="20"/>
        </w:rPr>
        <w:t>,</w:t>
      </w:r>
      <w:r w:rsidR="00C91950" w:rsidRPr="00837C92">
        <w:rPr>
          <w:rFonts w:ascii="Arial" w:hAnsi="Arial" w:cs="Arial"/>
          <w:sz w:val="20"/>
          <w:szCs w:val="20"/>
        </w:rPr>
        <w:t xml:space="preserve"> analizuoj</w:t>
      </w:r>
      <w:r w:rsidR="00A95B5A" w:rsidRPr="00837C92">
        <w:rPr>
          <w:rFonts w:ascii="Arial" w:hAnsi="Arial" w:cs="Arial"/>
          <w:sz w:val="20"/>
          <w:szCs w:val="20"/>
        </w:rPr>
        <w:t>amos</w:t>
      </w:r>
      <w:r w:rsidR="00C91950" w:rsidRPr="00837C92">
        <w:rPr>
          <w:rFonts w:ascii="Arial" w:hAnsi="Arial" w:cs="Arial"/>
          <w:sz w:val="20"/>
          <w:szCs w:val="20"/>
        </w:rPr>
        <w:t xml:space="preserve"> ir </w:t>
      </w:r>
      <w:r w:rsidR="000070E5" w:rsidRPr="00837C92">
        <w:rPr>
          <w:rFonts w:ascii="Arial" w:hAnsi="Arial" w:cs="Arial"/>
          <w:sz w:val="20"/>
          <w:szCs w:val="20"/>
        </w:rPr>
        <w:t>į</w:t>
      </w:r>
      <w:r w:rsidR="00C91950" w:rsidRPr="00837C92">
        <w:rPr>
          <w:rFonts w:ascii="Arial" w:hAnsi="Arial" w:cs="Arial"/>
          <w:sz w:val="20"/>
          <w:szCs w:val="20"/>
        </w:rPr>
        <w:t>vertin</w:t>
      </w:r>
      <w:r w:rsidR="000F4255" w:rsidRPr="00837C92">
        <w:rPr>
          <w:rFonts w:ascii="Arial" w:hAnsi="Arial" w:cs="Arial"/>
          <w:sz w:val="20"/>
          <w:szCs w:val="20"/>
        </w:rPr>
        <w:t>am</w:t>
      </w:r>
      <w:r w:rsidR="00A95B5A" w:rsidRPr="00837C92">
        <w:rPr>
          <w:rFonts w:ascii="Arial" w:hAnsi="Arial" w:cs="Arial"/>
          <w:sz w:val="20"/>
          <w:szCs w:val="20"/>
        </w:rPr>
        <w:t>os</w:t>
      </w:r>
      <w:r w:rsidR="00C91950" w:rsidRPr="00837C92">
        <w:rPr>
          <w:rFonts w:ascii="Arial" w:hAnsi="Arial" w:cs="Arial"/>
          <w:sz w:val="20"/>
          <w:szCs w:val="20"/>
        </w:rPr>
        <w:t xml:space="preserve"> rizik</w:t>
      </w:r>
      <w:r w:rsidR="00A95B5A" w:rsidRPr="00837C92">
        <w:rPr>
          <w:rFonts w:ascii="Arial" w:hAnsi="Arial" w:cs="Arial"/>
          <w:sz w:val="20"/>
          <w:szCs w:val="20"/>
        </w:rPr>
        <w:t>o</w:t>
      </w:r>
      <w:r w:rsidR="00C91950" w:rsidRPr="00837C92">
        <w:rPr>
          <w:rFonts w:ascii="Arial" w:hAnsi="Arial" w:cs="Arial"/>
          <w:sz w:val="20"/>
          <w:szCs w:val="20"/>
        </w:rPr>
        <w:t>s</w:t>
      </w:r>
      <w:r w:rsidR="004E62EA" w:rsidRPr="00837C92">
        <w:rPr>
          <w:rFonts w:ascii="Arial" w:hAnsi="Arial" w:cs="Arial"/>
          <w:sz w:val="20"/>
          <w:szCs w:val="20"/>
        </w:rPr>
        <w:t>.</w:t>
      </w:r>
    </w:p>
    <w:p w14:paraId="7CE7F750" w14:textId="00D5C71E" w:rsidR="004E62EA" w:rsidRPr="00271F9D" w:rsidRDefault="002B4515" w:rsidP="00B147CC">
      <w:pPr>
        <w:pStyle w:val="ListParagraph"/>
        <w:numPr>
          <w:ilvl w:val="3"/>
          <w:numId w:val="36"/>
        </w:numPr>
        <w:tabs>
          <w:tab w:val="left" w:pos="567"/>
          <w:tab w:val="left" w:pos="709"/>
          <w:tab w:val="left" w:pos="1134"/>
        </w:tabs>
        <w:spacing w:after="0" w:line="240" w:lineRule="auto"/>
        <w:ind w:left="0" w:firstLine="0"/>
        <w:jc w:val="both"/>
        <w:rPr>
          <w:rFonts w:ascii="Arial" w:hAnsi="Arial" w:cs="Arial"/>
          <w:sz w:val="20"/>
          <w:szCs w:val="20"/>
        </w:rPr>
      </w:pPr>
      <w:r w:rsidRPr="00271F9D">
        <w:rPr>
          <w:rFonts w:ascii="Arial" w:hAnsi="Arial" w:cs="Arial"/>
          <w:sz w:val="20"/>
          <w:szCs w:val="20"/>
        </w:rPr>
        <w:t>Rizikos identifikuojamos visose Bendrovės veiklos srityse per reguliarų rizikų registro sudarymą ir atnaujinimą, pokyčių valdymą ir veiklos incidentų tyrimą.</w:t>
      </w:r>
    </w:p>
    <w:p w14:paraId="396777C6" w14:textId="474E057C" w:rsidR="004E62EA" w:rsidRPr="00271F9D" w:rsidRDefault="00EE569E" w:rsidP="00B147CC">
      <w:pPr>
        <w:pStyle w:val="ListParagraph"/>
        <w:numPr>
          <w:ilvl w:val="3"/>
          <w:numId w:val="36"/>
        </w:numPr>
        <w:tabs>
          <w:tab w:val="left" w:pos="567"/>
          <w:tab w:val="left" w:pos="709"/>
          <w:tab w:val="left" w:pos="1134"/>
        </w:tabs>
        <w:spacing w:after="0" w:line="240" w:lineRule="auto"/>
        <w:ind w:left="0" w:firstLine="0"/>
        <w:jc w:val="both"/>
        <w:rPr>
          <w:rFonts w:ascii="Arial" w:hAnsi="Arial" w:cs="Arial"/>
          <w:sz w:val="20"/>
          <w:szCs w:val="20"/>
        </w:rPr>
      </w:pPr>
      <w:r w:rsidRPr="00271F9D">
        <w:rPr>
          <w:rFonts w:ascii="Arial" w:hAnsi="Arial" w:cs="Arial"/>
          <w:sz w:val="20"/>
          <w:szCs w:val="20"/>
        </w:rPr>
        <w:t xml:space="preserve">Rizikos analizės metu </w:t>
      </w:r>
      <w:r w:rsidR="006B0937" w:rsidRPr="006B0937">
        <w:rPr>
          <w:rFonts w:ascii="Arial" w:hAnsi="Arial" w:cs="Arial"/>
          <w:sz w:val="20"/>
          <w:szCs w:val="20"/>
        </w:rPr>
        <w:t>nustatomas rizikos reikšmingumo lygis</w:t>
      </w:r>
      <w:r w:rsidR="006B0937">
        <w:rPr>
          <w:rFonts w:ascii="Arial" w:hAnsi="Arial" w:cs="Arial"/>
          <w:sz w:val="20"/>
          <w:szCs w:val="20"/>
        </w:rPr>
        <w:t xml:space="preserve"> (</w:t>
      </w:r>
      <w:r w:rsidRPr="00271F9D">
        <w:rPr>
          <w:rFonts w:ascii="Arial" w:hAnsi="Arial" w:cs="Arial"/>
          <w:sz w:val="20"/>
          <w:szCs w:val="20"/>
        </w:rPr>
        <w:t>rizikos pasireiškimo tikimybės ir didžiausio poveikio įverčių sandauga</w:t>
      </w:r>
      <w:r w:rsidR="006B0937">
        <w:rPr>
          <w:rFonts w:ascii="Arial" w:hAnsi="Arial" w:cs="Arial"/>
          <w:sz w:val="20"/>
          <w:szCs w:val="20"/>
        </w:rPr>
        <w:t>)</w:t>
      </w:r>
      <w:r w:rsidRPr="00271F9D">
        <w:rPr>
          <w:rFonts w:ascii="Arial" w:hAnsi="Arial" w:cs="Arial"/>
          <w:sz w:val="20"/>
          <w:szCs w:val="20"/>
        </w:rPr>
        <w:t>.</w:t>
      </w:r>
      <w:r w:rsidR="00A92744" w:rsidRPr="00A92744">
        <w:t xml:space="preserve"> </w:t>
      </w:r>
      <w:r w:rsidR="00A92744" w:rsidRPr="00A92744">
        <w:rPr>
          <w:rFonts w:ascii="Arial" w:hAnsi="Arial" w:cs="Arial"/>
          <w:sz w:val="20"/>
          <w:szCs w:val="20"/>
        </w:rPr>
        <w:t>Analizės metu atsižvelgiama į jau taikomų rizikos valdymo priemonių veiksmingumą, t. y. vertinamos likutinės rizikos įvertinimo momentu.</w:t>
      </w:r>
    </w:p>
    <w:p w14:paraId="683A1913" w14:textId="12B57A53" w:rsidR="00F73802" w:rsidRDefault="002918CC" w:rsidP="00B147CC">
      <w:pPr>
        <w:pStyle w:val="ListParagraph"/>
        <w:numPr>
          <w:ilvl w:val="2"/>
          <w:numId w:val="36"/>
        </w:numPr>
        <w:tabs>
          <w:tab w:val="left" w:pos="567"/>
          <w:tab w:val="left" w:pos="851"/>
          <w:tab w:val="left" w:pos="1134"/>
        </w:tabs>
        <w:spacing w:after="0" w:line="240" w:lineRule="auto"/>
        <w:ind w:left="0" w:firstLine="0"/>
        <w:contextualSpacing w:val="0"/>
        <w:jc w:val="both"/>
        <w:rPr>
          <w:rFonts w:ascii="Arial" w:hAnsi="Arial" w:cs="Arial"/>
          <w:sz w:val="20"/>
          <w:szCs w:val="20"/>
        </w:rPr>
      </w:pPr>
      <w:r w:rsidRPr="00F73802">
        <w:rPr>
          <w:rFonts w:ascii="Arial" w:hAnsi="Arial" w:cs="Arial"/>
          <w:b/>
          <w:bCs/>
          <w:sz w:val="20"/>
          <w:szCs w:val="20"/>
        </w:rPr>
        <w:t>Veik</w:t>
      </w:r>
      <w:r w:rsidR="00837C92">
        <w:rPr>
          <w:rFonts w:ascii="Arial" w:hAnsi="Arial" w:cs="Arial"/>
          <w:b/>
          <w:bCs/>
          <w:sz w:val="20"/>
          <w:szCs w:val="20"/>
        </w:rPr>
        <w:t>s</w:t>
      </w:r>
      <w:r w:rsidRPr="00F73802">
        <w:rPr>
          <w:rFonts w:ascii="Arial" w:hAnsi="Arial" w:cs="Arial"/>
          <w:b/>
          <w:bCs/>
          <w:sz w:val="20"/>
          <w:szCs w:val="20"/>
        </w:rPr>
        <w:t>mų su rizika procesas</w:t>
      </w:r>
      <w:r w:rsidRPr="00F73802">
        <w:rPr>
          <w:rFonts w:ascii="Arial" w:hAnsi="Arial" w:cs="Arial"/>
          <w:sz w:val="20"/>
          <w:szCs w:val="20"/>
        </w:rPr>
        <w:t xml:space="preserve">: </w:t>
      </w:r>
      <w:r w:rsidR="002F69AE" w:rsidRPr="00F73802">
        <w:rPr>
          <w:rFonts w:ascii="Arial" w:hAnsi="Arial" w:cs="Arial"/>
          <w:sz w:val="20"/>
          <w:szCs w:val="20"/>
        </w:rPr>
        <w:t>priimamas rizikos valdymo sprendimas</w:t>
      </w:r>
      <w:r w:rsidR="00BB247F">
        <w:rPr>
          <w:rFonts w:ascii="Arial" w:hAnsi="Arial" w:cs="Arial"/>
          <w:sz w:val="20"/>
          <w:szCs w:val="20"/>
        </w:rPr>
        <w:t xml:space="preserve"> (atsižvelgiant į rizikos reikšmingumą bei į tai, ar rizika neviršija nustatyto rizikos apetito)</w:t>
      </w:r>
      <w:r w:rsidRPr="00F73802">
        <w:rPr>
          <w:rFonts w:ascii="Arial" w:hAnsi="Arial" w:cs="Arial"/>
          <w:sz w:val="20"/>
          <w:szCs w:val="20"/>
        </w:rPr>
        <w:t>, parengiamas</w:t>
      </w:r>
      <w:r w:rsidR="00C91950" w:rsidRPr="00F73802">
        <w:rPr>
          <w:rFonts w:ascii="Arial" w:hAnsi="Arial" w:cs="Arial"/>
          <w:sz w:val="20"/>
          <w:szCs w:val="20"/>
        </w:rPr>
        <w:t xml:space="preserve"> </w:t>
      </w:r>
      <w:r w:rsidR="00D7268B" w:rsidRPr="00F73802">
        <w:rPr>
          <w:rFonts w:ascii="Arial" w:hAnsi="Arial" w:cs="Arial"/>
          <w:sz w:val="20"/>
          <w:szCs w:val="20"/>
        </w:rPr>
        <w:t>rizik</w:t>
      </w:r>
      <w:r w:rsidR="00525BA6" w:rsidRPr="00F73802">
        <w:rPr>
          <w:rFonts w:ascii="Arial" w:hAnsi="Arial" w:cs="Arial"/>
          <w:sz w:val="20"/>
          <w:szCs w:val="20"/>
        </w:rPr>
        <w:t>os</w:t>
      </w:r>
      <w:r w:rsidR="00D7268B" w:rsidRPr="00F73802">
        <w:rPr>
          <w:rFonts w:ascii="Arial" w:hAnsi="Arial" w:cs="Arial"/>
          <w:sz w:val="20"/>
          <w:szCs w:val="20"/>
        </w:rPr>
        <w:t xml:space="preserve"> valdymo plan</w:t>
      </w:r>
      <w:r w:rsidR="00A95B5A" w:rsidRPr="00F73802">
        <w:rPr>
          <w:rFonts w:ascii="Arial" w:hAnsi="Arial" w:cs="Arial"/>
          <w:sz w:val="20"/>
          <w:szCs w:val="20"/>
        </w:rPr>
        <w:t>a</w:t>
      </w:r>
      <w:r w:rsidRPr="00F73802">
        <w:rPr>
          <w:rFonts w:ascii="Arial" w:hAnsi="Arial" w:cs="Arial"/>
          <w:sz w:val="20"/>
          <w:szCs w:val="20"/>
        </w:rPr>
        <w:t>s, į</w:t>
      </w:r>
      <w:r w:rsidR="00361837" w:rsidRPr="00F73802">
        <w:rPr>
          <w:rFonts w:ascii="Arial" w:hAnsi="Arial" w:cs="Arial"/>
          <w:sz w:val="20"/>
          <w:szCs w:val="20"/>
        </w:rPr>
        <w:t>gyvendinam</w:t>
      </w:r>
      <w:r w:rsidRPr="00F73802">
        <w:rPr>
          <w:rFonts w:ascii="Arial" w:hAnsi="Arial" w:cs="Arial"/>
          <w:sz w:val="20"/>
          <w:szCs w:val="20"/>
        </w:rPr>
        <w:t>o</w:t>
      </w:r>
      <w:r w:rsidR="00361837" w:rsidRPr="00F73802">
        <w:rPr>
          <w:rFonts w:ascii="Arial" w:hAnsi="Arial" w:cs="Arial"/>
          <w:sz w:val="20"/>
          <w:szCs w:val="20"/>
        </w:rPr>
        <w:t xml:space="preserve">s </w:t>
      </w:r>
      <w:r w:rsidRPr="00F73802">
        <w:rPr>
          <w:rFonts w:ascii="Arial" w:hAnsi="Arial" w:cs="Arial"/>
          <w:sz w:val="20"/>
          <w:szCs w:val="20"/>
        </w:rPr>
        <w:t>plane numatytos priemonės, vykdomas priemonių rezultatyvumo vertinimas;</w:t>
      </w:r>
    </w:p>
    <w:p w14:paraId="5E149FC8" w14:textId="15408BA6" w:rsidR="002918CC" w:rsidRPr="00F73802" w:rsidRDefault="002918CC" w:rsidP="00B147CC">
      <w:pPr>
        <w:pStyle w:val="ListParagraph"/>
        <w:numPr>
          <w:ilvl w:val="2"/>
          <w:numId w:val="36"/>
        </w:numPr>
        <w:tabs>
          <w:tab w:val="left" w:pos="567"/>
          <w:tab w:val="left" w:pos="851"/>
          <w:tab w:val="left" w:pos="1134"/>
        </w:tabs>
        <w:spacing w:after="0" w:line="240" w:lineRule="auto"/>
        <w:ind w:left="0" w:firstLine="0"/>
        <w:contextualSpacing w:val="0"/>
        <w:jc w:val="both"/>
        <w:rPr>
          <w:rFonts w:ascii="Arial" w:hAnsi="Arial" w:cs="Arial"/>
          <w:sz w:val="20"/>
          <w:szCs w:val="20"/>
        </w:rPr>
      </w:pPr>
      <w:r w:rsidRPr="00F73802">
        <w:rPr>
          <w:rFonts w:ascii="Arial" w:hAnsi="Arial" w:cs="Arial"/>
          <w:b/>
          <w:bCs/>
          <w:sz w:val="20"/>
          <w:szCs w:val="20"/>
        </w:rPr>
        <w:t>Stebėsenos ir peržiūros procesas</w:t>
      </w:r>
      <w:r w:rsidRPr="00F73802">
        <w:rPr>
          <w:rFonts w:ascii="Arial" w:hAnsi="Arial" w:cs="Arial"/>
          <w:sz w:val="20"/>
          <w:szCs w:val="20"/>
        </w:rPr>
        <w:t xml:space="preserve">: </w:t>
      </w:r>
      <w:r w:rsidR="00C91950" w:rsidRPr="00F73802">
        <w:rPr>
          <w:rFonts w:ascii="Arial" w:hAnsi="Arial" w:cs="Arial"/>
          <w:sz w:val="20"/>
          <w:szCs w:val="20"/>
        </w:rPr>
        <w:t>vykdo</w:t>
      </w:r>
      <w:r w:rsidR="00A95B5A" w:rsidRPr="00F73802">
        <w:rPr>
          <w:rFonts w:ascii="Arial" w:hAnsi="Arial" w:cs="Arial"/>
          <w:sz w:val="20"/>
          <w:szCs w:val="20"/>
        </w:rPr>
        <w:t>ma</w:t>
      </w:r>
      <w:r w:rsidR="00C91950" w:rsidRPr="00F73802">
        <w:rPr>
          <w:rFonts w:ascii="Arial" w:hAnsi="Arial" w:cs="Arial"/>
          <w:sz w:val="20"/>
          <w:szCs w:val="20"/>
        </w:rPr>
        <w:t xml:space="preserve"> nuolatin</w:t>
      </w:r>
      <w:r w:rsidR="00A95B5A" w:rsidRPr="00F73802">
        <w:rPr>
          <w:rFonts w:ascii="Arial" w:hAnsi="Arial" w:cs="Arial"/>
          <w:sz w:val="20"/>
          <w:szCs w:val="20"/>
        </w:rPr>
        <w:t>ė</w:t>
      </w:r>
      <w:r w:rsidR="00C91950" w:rsidRPr="00F73802">
        <w:rPr>
          <w:rFonts w:ascii="Arial" w:hAnsi="Arial" w:cs="Arial"/>
          <w:sz w:val="20"/>
          <w:szCs w:val="20"/>
        </w:rPr>
        <w:t xml:space="preserve"> </w:t>
      </w:r>
      <w:r w:rsidRPr="00F73802">
        <w:rPr>
          <w:rFonts w:ascii="Arial" w:hAnsi="Arial" w:cs="Arial"/>
          <w:sz w:val="20"/>
          <w:szCs w:val="20"/>
        </w:rPr>
        <w:t xml:space="preserve">rizikos valdymo procesų, </w:t>
      </w:r>
      <w:r w:rsidR="00C91950" w:rsidRPr="00F73802">
        <w:rPr>
          <w:rFonts w:ascii="Arial" w:hAnsi="Arial" w:cs="Arial"/>
          <w:sz w:val="20"/>
          <w:szCs w:val="20"/>
        </w:rPr>
        <w:t>nustatytų rizikų</w:t>
      </w:r>
      <w:r w:rsidRPr="00F73802">
        <w:rPr>
          <w:rFonts w:ascii="Arial" w:hAnsi="Arial" w:cs="Arial"/>
          <w:sz w:val="20"/>
          <w:szCs w:val="20"/>
        </w:rPr>
        <w:t xml:space="preserve">, jų vertinimo ir </w:t>
      </w:r>
      <w:r w:rsidR="00C91950" w:rsidRPr="00F73802">
        <w:rPr>
          <w:rFonts w:ascii="Arial" w:hAnsi="Arial" w:cs="Arial"/>
          <w:sz w:val="20"/>
          <w:szCs w:val="20"/>
        </w:rPr>
        <w:t>valdymo plan</w:t>
      </w:r>
      <w:r w:rsidR="0025101F" w:rsidRPr="00F73802">
        <w:rPr>
          <w:rFonts w:ascii="Arial" w:hAnsi="Arial" w:cs="Arial"/>
          <w:sz w:val="20"/>
          <w:szCs w:val="20"/>
        </w:rPr>
        <w:t>ų</w:t>
      </w:r>
      <w:r w:rsidR="00C91950" w:rsidRPr="00F73802">
        <w:rPr>
          <w:rFonts w:ascii="Arial" w:hAnsi="Arial" w:cs="Arial"/>
          <w:sz w:val="20"/>
          <w:szCs w:val="20"/>
        </w:rPr>
        <w:t xml:space="preserve"> įgyvendinimo stebėsen</w:t>
      </w:r>
      <w:r w:rsidR="00A95B5A" w:rsidRPr="00F73802">
        <w:rPr>
          <w:rFonts w:ascii="Arial" w:hAnsi="Arial" w:cs="Arial"/>
          <w:sz w:val="20"/>
          <w:szCs w:val="20"/>
        </w:rPr>
        <w:t>a</w:t>
      </w:r>
      <w:r w:rsidRPr="00F73802">
        <w:rPr>
          <w:rFonts w:ascii="Arial" w:hAnsi="Arial" w:cs="Arial"/>
          <w:sz w:val="20"/>
          <w:szCs w:val="20"/>
        </w:rPr>
        <w:t xml:space="preserve"> ir reguliari peržiūra;</w:t>
      </w:r>
    </w:p>
    <w:p w14:paraId="0AE177CB" w14:textId="4EA60735" w:rsidR="00B0378D" w:rsidRPr="00F73802" w:rsidRDefault="00421D97" w:rsidP="00B147CC">
      <w:pPr>
        <w:pStyle w:val="ListParagraph"/>
        <w:numPr>
          <w:ilvl w:val="2"/>
          <w:numId w:val="36"/>
        </w:numPr>
        <w:tabs>
          <w:tab w:val="left" w:pos="567"/>
          <w:tab w:val="left" w:pos="851"/>
          <w:tab w:val="left" w:pos="1134"/>
        </w:tabs>
        <w:spacing w:after="0" w:line="240" w:lineRule="auto"/>
        <w:ind w:left="0" w:firstLine="0"/>
        <w:jc w:val="both"/>
        <w:rPr>
          <w:rFonts w:ascii="Arial" w:hAnsi="Arial" w:cs="Arial"/>
          <w:sz w:val="20"/>
          <w:szCs w:val="20"/>
        </w:rPr>
      </w:pPr>
      <w:r w:rsidRPr="00F73802">
        <w:rPr>
          <w:rFonts w:ascii="Arial" w:hAnsi="Arial" w:cs="Arial"/>
          <w:b/>
          <w:bCs/>
          <w:sz w:val="20"/>
          <w:szCs w:val="20"/>
        </w:rPr>
        <w:t>Komunikacijos ir konsultavimo procesas</w:t>
      </w:r>
      <w:r w:rsidRPr="00F73802">
        <w:rPr>
          <w:rFonts w:ascii="Arial" w:hAnsi="Arial" w:cs="Arial"/>
          <w:sz w:val="20"/>
          <w:szCs w:val="20"/>
        </w:rPr>
        <w:t xml:space="preserve">: </w:t>
      </w:r>
      <w:r w:rsidR="00B0378D" w:rsidRPr="00F73802">
        <w:rPr>
          <w:rFonts w:ascii="Arial" w:hAnsi="Arial" w:cs="Arial"/>
          <w:sz w:val="20"/>
          <w:szCs w:val="20"/>
        </w:rPr>
        <w:t>vykdomas reguliarus abipusis dalijimasis informacija su proceso dalyviais ir suinteresuotosiomis šalimis.</w:t>
      </w:r>
    </w:p>
    <w:p w14:paraId="3E281956" w14:textId="32BC4E82" w:rsidR="008522E4" w:rsidRPr="00F73802" w:rsidRDefault="00421D97" w:rsidP="00B147CC">
      <w:pPr>
        <w:pStyle w:val="ListParagraph"/>
        <w:numPr>
          <w:ilvl w:val="2"/>
          <w:numId w:val="36"/>
        </w:numPr>
        <w:tabs>
          <w:tab w:val="left" w:pos="567"/>
          <w:tab w:val="left" w:pos="851"/>
          <w:tab w:val="left" w:pos="1134"/>
        </w:tabs>
        <w:spacing w:after="0" w:line="240" w:lineRule="auto"/>
        <w:ind w:left="0" w:firstLine="0"/>
        <w:contextualSpacing w:val="0"/>
        <w:jc w:val="both"/>
        <w:rPr>
          <w:rFonts w:ascii="Arial" w:hAnsi="Arial" w:cs="Arial"/>
          <w:sz w:val="20"/>
          <w:szCs w:val="20"/>
        </w:rPr>
      </w:pPr>
      <w:r w:rsidRPr="00F73802">
        <w:rPr>
          <w:rFonts w:ascii="Arial" w:hAnsi="Arial" w:cs="Arial"/>
          <w:b/>
          <w:bCs/>
          <w:sz w:val="20"/>
          <w:szCs w:val="20"/>
        </w:rPr>
        <w:t>Fiksavimo ir ataskaitų teikimo procesas:</w:t>
      </w:r>
      <w:r w:rsidRPr="00F73802">
        <w:rPr>
          <w:rFonts w:ascii="Arial" w:hAnsi="Arial" w:cs="Arial"/>
          <w:sz w:val="20"/>
          <w:szCs w:val="20"/>
        </w:rPr>
        <w:t xml:space="preserve"> suinteresuotųjų šalių poreikių vertinimas, ataskaitų rengimas ir teikimas.</w:t>
      </w:r>
    </w:p>
    <w:p w14:paraId="0A83A85F" w14:textId="6E91065C" w:rsidR="00670F57" w:rsidRPr="00271F9D" w:rsidRDefault="003F1BAF" w:rsidP="00B147CC">
      <w:pPr>
        <w:pStyle w:val="ListParagraph"/>
        <w:numPr>
          <w:ilvl w:val="1"/>
          <w:numId w:val="36"/>
        </w:numPr>
        <w:tabs>
          <w:tab w:val="left" w:pos="426"/>
          <w:tab w:val="left" w:pos="993"/>
        </w:tabs>
        <w:spacing w:after="0" w:line="240" w:lineRule="auto"/>
        <w:ind w:left="0" w:firstLine="0"/>
        <w:contextualSpacing w:val="0"/>
        <w:jc w:val="both"/>
        <w:rPr>
          <w:rFonts w:ascii="Arial" w:hAnsi="Arial" w:cs="Arial"/>
          <w:sz w:val="20"/>
          <w:szCs w:val="20"/>
        </w:rPr>
      </w:pPr>
      <w:r w:rsidRPr="00271F9D">
        <w:rPr>
          <w:rFonts w:ascii="Arial" w:hAnsi="Arial" w:cs="Arial"/>
          <w:sz w:val="20"/>
          <w:szCs w:val="20"/>
        </w:rPr>
        <w:t>Rizikos valdymo</w:t>
      </w:r>
      <w:r w:rsidR="0034727A" w:rsidRPr="00271F9D">
        <w:rPr>
          <w:rFonts w:ascii="Arial" w:hAnsi="Arial" w:cs="Arial"/>
          <w:sz w:val="20"/>
          <w:szCs w:val="20"/>
        </w:rPr>
        <w:t xml:space="preserve"> </w:t>
      </w:r>
      <w:r w:rsidR="00A833FB" w:rsidRPr="00271F9D">
        <w:rPr>
          <w:rFonts w:ascii="Arial" w:hAnsi="Arial" w:cs="Arial"/>
          <w:sz w:val="20"/>
          <w:szCs w:val="20"/>
        </w:rPr>
        <w:t xml:space="preserve">procesai </w:t>
      </w:r>
      <w:r w:rsidR="0034727A" w:rsidRPr="00271F9D">
        <w:rPr>
          <w:rFonts w:ascii="Arial" w:hAnsi="Arial" w:cs="Arial"/>
          <w:sz w:val="20"/>
          <w:szCs w:val="20"/>
        </w:rPr>
        <w:t>taikom</w:t>
      </w:r>
      <w:r w:rsidR="00A833FB" w:rsidRPr="00271F9D">
        <w:rPr>
          <w:rFonts w:ascii="Arial" w:hAnsi="Arial" w:cs="Arial"/>
          <w:sz w:val="20"/>
          <w:szCs w:val="20"/>
        </w:rPr>
        <w:t>i</w:t>
      </w:r>
      <w:r w:rsidR="0034727A" w:rsidRPr="00271F9D">
        <w:rPr>
          <w:rFonts w:ascii="Arial" w:hAnsi="Arial" w:cs="Arial"/>
          <w:sz w:val="20"/>
          <w:szCs w:val="20"/>
        </w:rPr>
        <w:t xml:space="preserve"> visų rūšių rizikos valdymui, įskaitant ir specializuotas sritis, pvz. Pinigų plovimo ir teroristų finansavimo prevencijos. </w:t>
      </w:r>
      <w:r w:rsidR="00A833FB" w:rsidRPr="00271F9D">
        <w:rPr>
          <w:rFonts w:ascii="Arial" w:hAnsi="Arial" w:cs="Arial"/>
          <w:sz w:val="20"/>
          <w:szCs w:val="20"/>
        </w:rPr>
        <w:t>Jie</w:t>
      </w:r>
      <w:r w:rsidR="002D3596" w:rsidRPr="00271F9D">
        <w:rPr>
          <w:rFonts w:ascii="Arial" w:hAnsi="Arial" w:cs="Arial"/>
          <w:sz w:val="20"/>
          <w:szCs w:val="20"/>
        </w:rPr>
        <w:t xml:space="preserve"> detalizuojam</w:t>
      </w:r>
      <w:r w:rsidR="00A833FB" w:rsidRPr="00271F9D">
        <w:rPr>
          <w:rFonts w:ascii="Arial" w:hAnsi="Arial" w:cs="Arial"/>
          <w:sz w:val="20"/>
          <w:szCs w:val="20"/>
        </w:rPr>
        <w:t>i</w:t>
      </w:r>
      <w:r w:rsidR="002D3596" w:rsidRPr="00271F9D">
        <w:rPr>
          <w:rFonts w:ascii="Arial" w:hAnsi="Arial" w:cs="Arial"/>
          <w:sz w:val="20"/>
          <w:szCs w:val="20"/>
        </w:rPr>
        <w:t xml:space="preserve"> Bendrovės vidaus dokumentuose.</w:t>
      </w:r>
      <w:r w:rsidR="00780C4D" w:rsidRPr="00271F9D">
        <w:rPr>
          <w:rFonts w:ascii="Arial" w:hAnsi="Arial" w:cs="Arial"/>
          <w:sz w:val="20"/>
          <w:szCs w:val="20"/>
        </w:rPr>
        <w:t xml:space="preserve"> </w:t>
      </w:r>
    </w:p>
    <w:p w14:paraId="37803E28" w14:textId="36930F35" w:rsidR="00081AE2" w:rsidRPr="00271F9D" w:rsidRDefault="00754096" w:rsidP="00B147CC">
      <w:pPr>
        <w:pStyle w:val="ListParagraph"/>
        <w:numPr>
          <w:ilvl w:val="1"/>
          <w:numId w:val="36"/>
        </w:numPr>
        <w:tabs>
          <w:tab w:val="left" w:pos="426"/>
          <w:tab w:val="left" w:pos="993"/>
        </w:tabs>
        <w:spacing w:after="0" w:line="240" w:lineRule="auto"/>
        <w:ind w:left="0" w:firstLine="0"/>
        <w:contextualSpacing w:val="0"/>
        <w:jc w:val="both"/>
        <w:rPr>
          <w:rFonts w:ascii="Arial" w:hAnsi="Arial" w:cs="Arial"/>
          <w:sz w:val="20"/>
          <w:szCs w:val="20"/>
        </w:rPr>
      </w:pPr>
      <w:r w:rsidRPr="00271F9D">
        <w:rPr>
          <w:rFonts w:ascii="Arial" w:hAnsi="Arial" w:cs="Arial"/>
          <w:sz w:val="20"/>
          <w:szCs w:val="20"/>
        </w:rPr>
        <w:t xml:space="preserve">Efektyvus </w:t>
      </w:r>
      <w:r w:rsidR="00401B15" w:rsidRPr="00271F9D">
        <w:rPr>
          <w:rFonts w:ascii="Arial" w:hAnsi="Arial" w:cs="Arial"/>
          <w:sz w:val="20"/>
          <w:szCs w:val="20"/>
        </w:rPr>
        <w:t>rizik</w:t>
      </w:r>
      <w:r w:rsidR="00A86379" w:rsidRPr="00271F9D">
        <w:rPr>
          <w:rFonts w:ascii="Arial" w:hAnsi="Arial" w:cs="Arial"/>
          <w:sz w:val="20"/>
          <w:szCs w:val="20"/>
        </w:rPr>
        <w:t>os</w:t>
      </w:r>
      <w:r w:rsidR="00401B15" w:rsidRPr="00271F9D">
        <w:rPr>
          <w:rFonts w:ascii="Arial" w:hAnsi="Arial" w:cs="Arial"/>
          <w:sz w:val="20"/>
          <w:szCs w:val="20"/>
        </w:rPr>
        <w:t xml:space="preserve"> valdymas </w:t>
      </w:r>
      <w:r w:rsidRPr="00271F9D">
        <w:rPr>
          <w:rFonts w:ascii="Arial" w:hAnsi="Arial" w:cs="Arial"/>
          <w:sz w:val="20"/>
          <w:szCs w:val="20"/>
        </w:rPr>
        <w:t>pagrįstas puoselėjama</w:t>
      </w:r>
      <w:r w:rsidR="00401B15" w:rsidRPr="00271F9D">
        <w:rPr>
          <w:rFonts w:ascii="Arial" w:hAnsi="Arial" w:cs="Arial"/>
          <w:sz w:val="20"/>
          <w:szCs w:val="20"/>
        </w:rPr>
        <w:t xml:space="preserve"> rizikos</w:t>
      </w:r>
      <w:r w:rsidR="00E2178C" w:rsidRPr="00271F9D">
        <w:rPr>
          <w:rFonts w:ascii="Arial" w:hAnsi="Arial" w:cs="Arial"/>
          <w:sz w:val="20"/>
          <w:szCs w:val="20"/>
        </w:rPr>
        <w:t xml:space="preserve"> valdymo</w:t>
      </w:r>
      <w:r w:rsidR="00401B15" w:rsidRPr="00271F9D">
        <w:rPr>
          <w:rFonts w:ascii="Arial" w:hAnsi="Arial" w:cs="Arial"/>
          <w:sz w:val="20"/>
          <w:szCs w:val="20"/>
        </w:rPr>
        <w:t xml:space="preserve"> kultūra, kuri remiasi </w:t>
      </w:r>
      <w:r w:rsidRPr="00271F9D">
        <w:rPr>
          <w:rFonts w:ascii="Arial" w:hAnsi="Arial" w:cs="Arial"/>
          <w:sz w:val="20"/>
          <w:szCs w:val="20"/>
        </w:rPr>
        <w:t>nuolatos atnaujinama, darbuotojams prieinama informacija apie veiklai būdingas rizikas bei jų valdymo patirtį.</w:t>
      </w:r>
      <w:r w:rsidR="00E86DD9" w:rsidRPr="00271F9D">
        <w:rPr>
          <w:rFonts w:ascii="Arial" w:hAnsi="Arial" w:cs="Arial"/>
          <w:sz w:val="20"/>
          <w:szCs w:val="20"/>
        </w:rPr>
        <w:t xml:space="preserve"> </w:t>
      </w:r>
    </w:p>
    <w:p w14:paraId="4DDD68EF" w14:textId="77F7709C" w:rsidR="00401B15" w:rsidRDefault="00081AE2" w:rsidP="00B147CC">
      <w:pPr>
        <w:pStyle w:val="ListParagraph"/>
        <w:numPr>
          <w:ilvl w:val="1"/>
          <w:numId w:val="36"/>
        </w:numPr>
        <w:tabs>
          <w:tab w:val="left" w:pos="426"/>
          <w:tab w:val="left" w:pos="993"/>
        </w:tabs>
        <w:spacing w:after="0" w:line="240" w:lineRule="auto"/>
        <w:ind w:left="0" w:firstLine="0"/>
        <w:contextualSpacing w:val="0"/>
        <w:jc w:val="both"/>
        <w:rPr>
          <w:rFonts w:ascii="Arial" w:hAnsi="Arial" w:cs="Arial"/>
          <w:sz w:val="20"/>
          <w:szCs w:val="20"/>
        </w:rPr>
      </w:pPr>
      <w:r w:rsidRPr="00271F9D">
        <w:rPr>
          <w:rFonts w:ascii="Arial" w:hAnsi="Arial" w:cs="Arial"/>
          <w:sz w:val="20"/>
          <w:szCs w:val="20"/>
        </w:rPr>
        <w:t>S</w:t>
      </w:r>
      <w:r w:rsidR="00E86DD9" w:rsidRPr="00271F9D">
        <w:rPr>
          <w:rFonts w:ascii="Arial" w:hAnsi="Arial" w:cs="Arial"/>
          <w:sz w:val="20"/>
          <w:szCs w:val="20"/>
        </w:rPr>
        <w:t>iekiama išlaikyti</w:t>
      </w:r>
      <w:r w:rsidRPr="00271F9D">
        <w:rPr>
          <w:rFonts w:ascii="Arial" w:hAnsi="Arial" w:cs="Arial"/>
          <w:sz w:val="20"/>
          <w:szCs w:val="20"/>
        </w:rPr>
        <w:t xml:space="preserve"> ir ugdyti</w:t>
      </w:r>
      <w:r w:rsidR="00E86DD9" w:rsidRPr="00271F9D">
        <w:rPr>
          <w:rFonts w:ascii="Arial" w:hAnsi="Arial" w:cs="Arial"/>
          <w:sz w:val="20"/>
          <w:szCs w:val="20"/>
        </w:rPr>
        <w:t xml:space="preserve"> darbuotojų rizik</w:t>
      </w:r>
      <w:r w:rsidR="00A86379" w:rsidRPr="00271F9D">
        <w:rPr>
          <w:rFonts w:ascii="Arial" w:hAnsi="Arial" w:cs="Arial"/>
          <w:sz w:val="20"/>
          <w:szCs w:val="20"/>
        </w:rPr>
        <w:t>os</w:t>
      </w:r>
      <w:r w:rsidR="00E86DD9" w:rsidRPr="00271F9D">
        <w:rPr>
          <w:rFonts w:ascii="Arial" w:hAnsi="Arial" w:cs="Arial"/>
          <w:sz w:val="20"/>
          <w:szCs w:val="20"/>
        </w:rPr>
        <w:t xml:space="preserve"> valdymo kvalifikaciją periodiškai rengiant mokymus.</w:t>
      </w:r>
    </w:p>
    <w:p w14:paraId="6AA8052F" w14:textId="1E5A42D3" w:rsidR="003F2B2D" w:rsidRDefault="003F2B2D" w:rsidP="003F2B2D">
      <w:pPr>
        <w:tabs>
          <w:tab w:val="left" w:pos="426"/>
          <w:tab w:val="left" w:pos="993"/>
        </w:tabs>
        <w:spacing w:after="0" w:line="240" w:lineRule="auto"/>
        <w:jc w:val="both"/>
        <w:rPr>
          <w:rFonts w:ascii="Arial" w:hAnsi="Arial" w:cs="Arial"/>
          <w:sz w:val="20"/>
          <w:szCs w:val="20"/>
        </w:rPr>
      </w:pPr>
    </w:p>
    <w:p w14:paraId="07C26023" w14:textId="46EEDD21" w:rsidR="003F2B2D" w:rsidRDefault="003F2B2D" w:rsidP="003F2B2D">
      <w:pPr>
        <w:tabs>
          <w:tab w:val="left" w:pos="426"/>
          <w:tab w:val="left" w:pos="993"/>
        </w:tabs>
        <w:spacing w:after="0" w:line="240" w:lineRule="auto"/>
        <w:jc w:val="both"/>
        <w:rPr>
          <w:rFonts w:ascii="Arial" w:hAnsi="Arial" w:cs="Arial"/>
          <w:sz w:val="20"/>
          <w:szCs w:val="20"/>
        </w:rPr>
      </w:pPr>
    </w:p>
    <w:p w14:paraId="54A62097" w14:textId="043D2663" w:rsidR="003F2B2D" w:rsidRDefault="003F2B2D" w:rsidP="003F2B2D">
      <w:pPr>
        <w:tabs>
          <w:tab w:val="left" w:pos="426"/>
          <w:tab w:val="left" w:pos="993"/>
        </w:tabs>
        <w:spacing w:after="0" w:line="240" w:lineRule="auto"/>
        <w:jc w:val="both"/>
        <w:rPr>
          <w:rFonts w:ascii="Arial" w:hAnsi="Arial" w:cs="Arial"/>
          <w:sz w:val="20"/>
          <w:szCs w:val="20"/>
        </w:rPr>
      </w:pPr>
    </w:p>
    <w:p w14:paraId="38F65C29" w14:textId="5E3A7393" w:rsidR="003F2B2D" w:rsidRDefault="003F2B2D" w:rsidP="003F2B2D">
      <w:pPr>
        <w:tabs>
          <w:tab w:val="left" w:pos="426"/>
          <w:tab w:val="left" w:pos="993"/>
        </w:tabs>
        <w:spacing w:after="0" w:line="240" w:lineRule="auto"/>
        <w:jc w:val="both"/>
        <w:rPr>
          <w:rFonts w:ascii="Arial" w:hAnsi="Arial" w:cs="Arial"/>
          <w:sz w:val="20"/>
          <w:szCs w:val="20"/>
        </w:rPr>
      </w:pPr>
    </w:p>
    <w:p w14:paraId="0370B0B6" w14:textId="1537F596" w:rsidR="003F2B2D" w:rsidRDefault="003F2B2D" w:rsidP="003F2B2D">
      <w:pPr>
        <w:tabs>
          <w:tab w:val="left" w:pos="426"/>
          <w:tab w:val="left" w:pos="993"/>
        </w:tabs>
        <w:spacing w:after="0" w:line="240" w:lineRule="auto"/>
        <w:jc w:val="both"/>
        <w:rPr>
          <w:rFonts w:ascii="Arial" w:hAnsi="Arial" w:cs="Arial"/>
          <w:sz w:val="20"/>
          <w:szCs w:val="20"/>
        </w:rPr>
      </w:pPr>
    </w:p>
    <w:p w14:paraId="1ED52933" w14:textId="77777777" w:rsidR="003F2B2D" w:rsidRPr="003F2B2D" w:rsidRDefault="003F2B2D" w:rsidP="003F2B2D">
      <w:pPr>
        <w:tabs>
          <w:tab w:val="left" w:pos="426"/>
          <w:tab w:val="left" w:pos="993"/>
        </w:tabs>
        <w:spacing w:after="0" w:line="240" w:lineRule="auto"/>
        <w:jc w:val="both"/>
        <w:rPr>
          <w:rFonts w:ascii="Arial" w:hAnsi="Arial" w:cs="Arial"/>
          <w:sz w:val="20"/>
          <w:szCs w:val="20"/>
        </w:rPr>
      </w:pPr>
    </w:p>
    <w:p w14:paraId="420F81F3" w14:textId="62CDFC9A" w:rsidR="00313BE1" w:rsidRPr="00271F9D" w:rsidRDefault="00997170" w:rsidP="00B147CC">
      <w:pPr>
        <w:pStyle w:val="Heading1"/>
        <w:numPr>
          <w:ilvl w:val="0"/>
          <w:numId w:val="36"/>
        </w:numPr>
        <w:spacing w:after="240" w:line="240" w:lineRule="auto"/>
        <w:jc w:val="both"/>
        <w:rPr>
          <w:rFonts w:ascii="Arial" w:hAnsi="Arial" w:cs="Arial"/>
          <w:b/>
          <w:bCs/>
          <w:color w:val="auto"/>
          <w:sz w:val="20"/>
          <w:szCs w:val="20"/>
        </w:rPr>
      </w:pPr>
      <w:r w:rsidRPr="00271F9D">
        <w:rPr>
          <w:rFonts w:ascii="Arial" w:hAnsi="Arial" w:cs="Arial"/>
          <w:b/>
          <w:bCs/>
          <w:color w:val="auto"/>
          <w:sz w:val="20"/>
          <w:szCs w:val="20"/>
        </w:rPr>
        <w:lastRenderedPageBreak/>
        <w:t>ATSAKOMYBĖ, ATSKAITOMYBĖ IR KONTROLĖ</w:t>
      </w:r>
    </w:p>
    <w:p w14:paraId="6CB2CE1A" w14:textId="62E4D810" w:rsidR="00C12A18" w:rsidRPr="00271F9D" w:rsidRDefault="00C12A18" w:rsidP="00B147CC">
      <w:pPr>
        <w:pStyle w:val="ListParagraph"/>
        <w:numPr>
          <w:ilvl w:val="1"/>
          <w:numId w:val="36"/>
        </w:numPr>
        <w:tabs>
          <w:tab w:val="left" w:pos="0"/>
          <w:tab w:val="left" w:pos="426"/>
          <w:tab w:val="left" w:pos="993"/>
        </w:tabs>
        <w:spacing w:after="0" w:line="240" w:lineRule="auto"/>
        <w:ind w:left="0" w:firstLine="0"/>
        <w:contextualSpacing w:val="0"/>
        <w:jc w:val="both"/>
        <w:rPr>
          <w:rFonts w:ascii="Arial" w:hAnsi="Arial" w:cs="Arial"/>
          <w:sz w:val="20"/>
          <w:szCs w:val="20"/>
        </w:rPr>
      </w:pPr>
      <w:bookmarkStart w:id="5" w:name="_Hlk59016367"/>
      <w:r w:rsidRPr="00271F9D">
        <w:rPr>
          <w:rFonts w:ascii="Arial" w:hAnsi="Arial" w:cs="Arial"/>
          <w:sz w:val="20"/>
          <w:szCs w:val="20"/>
        </w:rPr>
        <w:t>Bendrovės darbuotojai rizikos valdymo veikloje yra priskiriami vienai iš trijų gynybos linijų (</w:t>
      </w:r>
      <w:r w:rsidRPr="00271F9D">
        <w:rPr>
          <w:rFonts w:ascii="Arial" w:hAnsi="Arial" w:cs="Arial"/>
          <w:sz w:val="20"/>
          <w:szCs w:val="20"/>
          <w:lang w:val="en-US"/>
        </w:rPr>
        <w:t>2 pav.).</w:t>
      </w:r>
      <w:r w:rsidRPr="00271F9D">
        <w:rPr>
          <w:rFonts w:ascii="Arial" w:hAnsi="Arial" w:cs="Arial"/>
          <w:sz w:val="20"/>
          <w:szCs w:val="20"/>
        </w:rPr>
        <w:t xml:space="preserve"> Šios linijos veikia nepriklausomai – sprendimus priima savarankiškai, užtikrindamos rizikos valdymo sprendimų efektyvumą.</w:t>
      </w:r>
    </w:p>
    <w:p w14:paraId="2299A339" w14:textId="77777777" w:rsidR="00C12A18" w:rsidRPr="00271F9D" w:rsidRDefault="00C12A18" w:rsidP="00C12A18">
      <w:pPr>
        <w:pStyle w:val="ListParagraph"/>
        <w:tabs>
          <w:tab w:val="left" w:pos="567"/>
        </w:tabs>
        <w:spacing w:after="0" w:line="240" w:lineRule="auto"/>
        <w:ind w:left="0"/>
        <w:contextualSpacing w:val="0"/>
        <w:jc w:val="both"/>
        <w:rPr>
          <w:rFonts w:ascii="Arial" w:hAnsi="Arial" w:cs="Arial"/>
          <w:sz w:val="20"/>
          <w:szCs w:val="20"/>
        </w:rPr>
      </w:pPr>
    </w:p>
    <w:p w14:paraId="7B178B35" w14:textId="3E579FB9" w:rsidR="00C12A18" w:rsidRPr="00271F9D" w:rsidRDefault="00C12A18" w:rsidP="00C12A18">
      <w:pPr>
        <w:pStyle w:val="ListParagraph"/>
        <w:tabs>
          <w:tab w:val="left" w:pos="567"/>
        </w:tabs>
        <w:spacing w:after="0" w:line="240" w:lineRule="auto"/>
        <w:ind w:left="0"/>
        <w:contextualSpacing w:val="0"/>
        <w:jc w:val="both"/>
        <w:rPr>
          <w:rFonts w:ascii="Arial" w:hAnsi="Arial" w:cs="Arial"/>
          <w:sz w:val="20"/>
          <w:szCs w:val="20"/>
        </w:rPr>
      </w:pPr>
      <w:r w:rsidRPr="00271F9D">
        <w:rPr>
          <w:rFonts w:ascii="Arial" w:hAnsi="Arial" w:cs="Arial"/>
          <w:noProof/>
          <w:sz w:val="20"/>
          <w:szCs w:val="20"/>
          <w:lang w:eastAsia="lt-LT"/>
        </w:rPr>
        <w:drawing>
          <wp:inline distT="0" distB="0" distL="0" distR="0" wp14:anchorId="24905922" wp14:editId="50B8398E">
            <wp:extent cx="6077835" cy="1983939"/>
            <wp:effectExtent l="0" t="0" r="0" b="0"/>
            <wp:docPr id="6" name="Paveikslėlis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3" descr="A picture containing timelin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4986" cy="1989538"/>
                    </a:xfrm>
                    <a:prstGeom prst="rect">
                      <a:avLst/>
                    </a:prstGeom>
                    <a:noFill/>
                  </pic:spPr>
                </pic:pic>
              </a:graphicData>
            </a:graphic>
          </wp:inline>
        </w:drawing>
      </w:r>
    </w:p>
    <w:p w14:paraId="4AB1DDA1" w14:textId="13C61E6F" w:rsidR="00C12A18" w:rsidRPr="00271F9D" w:rsidRDefault="00C12A18" w:rsidP="00491963">
      <w:pPr>
        <w:pStyle w:val="ListParagraph"/>
        <w:numPr>
          <w:ilvl w:val="3"/>
          <w:numId w:val="3"/>
        </w:numPr>
        <w:tabs>
          <w:tab w:val="left" w:pos="1134"/>
        </w:tabs>
        <w:rPr>
          <w:rFonts w:ascii="Arial" w:hAnsi="Arial" w:cs="Arial"/>
          <w:sz w:val="20"/>
          <w:szCs w:val="20"/>
        </w:rPr>
      </w:pPr>
      <w:r w:rsidRPr="00271F9D">
        <w:rPr>
          <w:rFonts w:ascii="Arial" w:hAnsi="Arial" w:cs="Arial"/>
          <w:sz w:val="20"/>
          <w:szCs w:val="20"/>
        </w:rPr>
        <w:t>pav. Trys gynybos linijos</w:t>
      </w:r>
    </w:p>
    <w:p w14:paraId="5705E04E" w14:textId="77777777" w:rsidR="008952A4" w:rsidRPr="00271F9D" w:rsidRDefault="008952A4" w:rsidP="00B147CC">
      <w:pPr>
        <w:pStyle w:val="ListParagraph"/>
        <w:numPr>
          <w:ilvl w:val="0"/>
          <w:numId w:val="36"/>
        </w:numPr>
        <w:tabs>
          <w:tab w:val="left" w:pos="567"/>
        </w:tabs>
        <w:spacing w:after="0" w:line="240" w:lineRule="auto"/>
        <w:jc w:val="both"/>
        <w:rPr>
          <w:rFonts w:ascii="Arial" w:hAnsi="Arial" w:cs="Arial"/>
          <w:sz w:val="20"/>
          <w:szCs w:val="20"/>
        </w:rPr>
        <w:sectPr w:rsidR="008952A4" w:rsidRPr="00271F9D" w:rsidSect="00086B14">
          <w:headerReference w:type="default" r:id="rId14"/>
          <w:footerReference w:type="default" r:id="rId15"/>
          <w:headerReference w:type="first" r:id="rId16"/>
          <w:footerReference w:type="first" r:id="rId17"/>
          <w:pgSz w:w="11906" w:h="16838"/>
          <w:pgMar w:top="1134" w:right="567" w:bottom="1134" w:left="1701" w:header="567" w:footer="567" w:gutter="0"/>
          <w:pgNumType w:chapStyle="1"/>
          <w:cols w:space="1296"/>
          <w:titlePg/>
          <w:docGrid w:linePitch="360"/>
        </w:sectPr>
      </w:pPr>
    </w:p>
    <w:p w14:paraId="53A54FB3" w14:textId="447FF16C" w:rsidR="004D0754" w:rsidRPr="00271F9D" w:rsidRDefault="004D0754" w:rsidP="00581138">
      <w:pPr>
        <w:pStyle w:val="ListParagraph"/>
        <w:numPr>
          <w:ilvl w:val="1"/>
          <w:numId w:val="11"/>
        </w:numPr>
        <w:tabs>
          <w:tab w:val="left" w:pos="0"/>
          <w:tab w:val="left" w:pos="993"/>
        </w:tabs>
        <w:spacing w:after="0" w:line="240" w:lineRule="auto"/>
        <w:jc w:val="both"/>
        <w:rPr>
          <w:rFonts w:ascii="Arial" w:hAnsi="Arial" w:cs="Arial"/>
          <w:sz w:val="20"/>
          <w:szCs w:val="20"/>
        </w:rPr>
      </w:pPr>
      <w:r w:rsidRPr="00271F9D">
        <w:rPr>
          <w:rFonts w:ascii="Arial" w:hAnsi="Arial" w:cs="Arial"/>
          <w:sz w:val="20"/>
          <w:szCs w:val="20"/>
        </w:rPr>
        <w:lastRenderedPageBreak/>
        <w:t xml:space="preserve">Bendrovėje į </w:t>
      </w:r>
      <w:r w:rsidR="00BC3C67" w:rsidRPr="00271F9D">
        <w:rPr>
          <w:rFonts w:ascii="Arial" w:hAnsi="Arial" w:cs="Arial"/>
          <w:sz w:val="20"/>
          <w:szCs w:val="20"/>
        </w:rPr>
        <w:t>rizikos valdymo funkcijos vykdymą</w:t>
      </w:r>
      <w:r w:rsidRPr="00271F9D">
        <w:rPr>
          <w:rFonts w:ascii="Arial" w:hAnsi="Arial" w:cs="Arial"/>
          <w:sz w:val="20"/>
          <w:szCs w:val="20"/>
        </w:rPr>
        <w:t xml:space="preserve"> skirtingu lygiu ir apimtimi įtraukiami</w:t>
      </w:r>
      <w:r w:rsidR="00ED232A" w:rsidRPr="00271F9D">
        <w:rPr>
          <w:rFonts w:ascii="Arial" w:hAnsi="Arial" w:cs="Arial"/>
          <w:sz w:val="20"/>
          <w:szCs w:val="20"/>
        </w:rPr>
        <w:t xml:space="preserve"> su tokiomis atsakomybėmis</w:t>
      </w:r>
      <w:r w:rsidRPr="00271F9D">
        <w:rPr>
          <w:rFonts w:ascii="Arial" w:hAnsi="Arial" w:cs="Arial"/>
          <w:sz w:val="20"/>
          <w:szCs w:val="20"/>
        </w:rPr>
        <w:t>:</w:t>
      </w:r>
      <w:bookmarkEnd w:id="5"/>
    </w:p>
    <w:p w14:paraId="422F4A36" w14:textId="77777777" w:rsidR="00ED232A" w:rsidRPr="00271F9D" w:rsidRDefault="00ED232A" w:rsidP="006A0C5B">
      <w:pPr>
        <w:pStyle w:val="ListParagraph"/>
        <w:tabs>
          <w:tab w:val="left" w:pos="0"/>
          <w:tab w:val="left" w:pos="993"/>
        </w:tabs>
        <w:spacing w:after="0" w:line="240" w:lineRule="auto"/>
        <w:ind w:left="567"/>
        <w:jc w:val="both"/>
        <w:rPr>
          <w:rFonts w:ascii="Arial" w:hAnsi="Arial" w:cs="Arial"/>
          <w:sz w:val="20"/>
          <w:szCs w:val="20"/>
        </w:rPr>
      </w:pPr>
    </w:p>
    <w:tbl>
      <w:tblPr>
        <w:tblW w:w="14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298"/>
        <w:gridCol w:w="115"/>
        <w:gridCol w:w="827"/>
        <w:gridCol w:w="874"/>
        <w:gridCol w:w="417"/>
        <w:gridCol w:w="1142"/>
        <w:gridCol w:w="298"/>
        <w:gridCol w:w="1545"/>
        <w:gridCol w:w="1559"/>
        <w:gridCol w:w="1043"/>
        <w:gridCol w:w="1650"/>
        <w:gridCol w:w="1701"/>
        <w:gridCol w:w="1578"/>
      </w:tblGrid>
      <w:tr w:rsidR="001125CE" w:rsidRPr="00271F9D" w14:paraId="4312C141" w14:textId="77777777" w:rsidTr="001125CE">
        <w:trPr>
          <w:trHeight w:val="208"/>
          <w:jc w:val="center"/>
        </w:trPr>
        <w:tc>
          <w:tcPr>
            <w:tcW w:w="2240" w:type="dxa"/>
            <w:gridSpan w:val="3"/>
            <w:vMerge w:val="restart"/>
            <w:shd w:val="clear" w:color="auto" w:fill="auto"/>
            <w:tcMar>
              <w:top w:w="72" w:type="dxa"/>
              <w:left w:w="144" w:type="dxa"/>
              <w:bottom w:w="72" w:type="dxa"/>
              <w:right w:w="144" w:type="dxa"/>
            </w:tcMar>
            <w:hideMark/>
          </w:tcPr>
          <w:p w14:paraId="177AF6C4"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bookmarkStart w:id="6" w:name="_Hlk79413639"/>
            <w:r w:rsidRPr="00271F9D">
              <w:rPr>
                <w:rFonts w:ascii="Arial" w:eastAsia="Times New Roman" w:hAnsi="Arial" w:cs="Arial"/>
                <w:b/>
                <w:bCs/>
                <w:sz w:val="16"/>
                <w:szCs w:val="16"/>
                <w:lang w:eastAsia="lt-LT"/>
              </w:rPr>
              <w:t>Procesas</w:t>
            </w:r>
          </w:p>
        </w:tc>
        <w:tc>
          <w:tcPr>
            <w:tcW w:w="1291" w:type="dxa"/>
            <w:gridSpan w:val="2"/>
            <w:shd w:val="clear" w:color="auto" w:fill="E2F0D9"/>
            <w:tcMar>
              <w:top w:w="72" w:type="dxa"/>
              <w:left w:w="144" w:type="dxa"/>
              <w:bottom w:w="72" w:type="dxa"/>
              <w:right w:w="144" w:type="dxa"/>
            </w:tcMar>
            <w:hideMark/>
          </w:tcPr>
          <w:p w14:paraId="63597C4A"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val="fi-FI" w:eastAsia="lt-LT"/>
              </w:rPr>
              <w:t>I gynybos linija</w:t>
            </w:r>
          </w:p>
        </w:tc>
        <w:tc>
          <w:tcPr>
            <w:tcW w:w="4544" w:type="dxa"/>
            <w:gridSpan w:val="4"/>
            <w:shd w:val="clear" w:color="auto" w:fill="FFFFB3"/>
            <w:tcMar>
              <w:top w:w="72" w:type="dxa"/>
              <w:left w:w="144" w:type="dxa"/>
              <w:bottom w:w="72" w:type="dxa"/>
              <w:right w:w="144" w:type="dxa"/>
            </w:tcMar>
            <w:hideMark/>
          </w:tcPr>
          <w:p w14:paraId="7B0220D6"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II gynybos linija</w:t>
            </w:r>
          </w:p>
        </w:tc>
        <w:tc>
          <w:tcPr>
            <w:tcW w:w="1043" w:type="dxa"/>
            <w:shd w:val="clear" w:color="auto" w:fill="DEEBF7"/>
            <w:tcMar>
              <w:top w:w="72" w:type="dxa"/>
              <w:left w:w="144" w:type="dxa"/>
              <w:bottom w:w="72" w:type="dxa"/>
              <w:right w:w="144" w:type="dxa"/>
            </w:tcMar>
            <w:hideMark/>
          </w:tcPr>
          <w:p w14:paraId="1BB2988C"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III gynybos linija</w:t>
            </w:r>
          </w:p>
        </w:tc>
        <w:tc>
          <w:tcPr>
            <w:tcW w:w="1650" w:type="dxa"/>
            <w:vMerge w:val="restart"/>
            <w:shd w:val="clear" w:color="auto" w:fill="BDD7EE"/>
            <w:tcMar>
              <w:top w:w="72" w:type="dxa"/>
              <w:left w:w="144" w:type="dxa"/>
              <w:bottom w:w="72" w:type="dxa"/>
              <w:right w:w="144" w:type="dxa"/>
            </w:tcMar>
            <w:hideMark/>
          </w:tcPr>
          <w:p w14:paraId="2D92EE6E"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r w:rsidRPr="00271F9D">
              <w:rPr>
                <w:rFonts w:ascii="Arial" w:eastAsiaTheme="minorEastAsia" w:hAnsi="Arial" w:cs="Arial"/>
                <w:b/>
                <w:bCs/>
                <w:color w:val="000000" w:themeColor="text1"/>
                <w:kern w:val="24"/>
                <w:sz w:val="16"/>
                <w:szCs w:val="16"/>
                <w:lang w:eastAsia="lt-LT"/>
              </w:rPr>
              <w:t>Generalinis direktorius</w:t>
            </w:r>
          </w:p>
        </w:tc>
        <w:tc>
          <w:tcPr>
            <w:tcW w:w="1701" w:type="dxa"/>
            <w:vMerge w:val="restart"/>
            <w:shd w:val="clear" w:color="auto" w:fill="BAEDF0"/>
            <w:tcMar>
              <w:top w:w="72" w:type="dxa"/>
              <w:left w:w="144" w:type="dxa"/>
              <w:bottom w:w="72" w:type="dxa"/>
              <w:right w:w="144" w:type="dxa"/>
            </w:tcMar>
            <w:hideMark/>
          </w:tcPr>
          <w:p w14:paraId="78D1B4F2"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ARVK</w:t>
            </w:r>
          </w:p>
        </w:tc>
        <w:tc>
          <w:tcPr>
            <w:tcW w:w="1578" w:type="dxa"/>
            <w:vMerge w:val="restart"/>
            <w:shd w:val="clear" w:color="auto" w:fill="E2C8FC"/>
            <w:tcMar>
              <w:top w:w="72" w:type="dxa"/>
              <w:left w:w="144" w:type="dxa"/>
              <w:bottom w:w="72" w:type="dxa"/>
              <w:right w:w="144" w:type="dxa"/>
            </w:tcMar>
            <w:hideMark/>
          </w:tcPr>
          <w:p w14:paraId="20179097"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Valdyba</w:t>
            </w:r>
          </w:p>
        </w:tc>
      </w:tr>
      <w:tr w:rsidR="001125CE" w:rsidRPr="00271F9D" w14:paraId="02299513" w14:textId="77777777" w:rsidTr="001125CE">
        <w:trPr>
          <w:trHeight w:val="473"/>
          <w:jc w:val="center"/>
        </w:trPr>
        <w:tc>
          <w:tcPr>
            <w:tcW w:w="2240" w:type="dxa"/>
            <w:gridSpan w:val="3"/>
            <w:vMerge/>
            <w:vAlign w:val="center"/>
            <w:hideMark/>
          </w:tcPr>
          <w:p w14:paraId="418CB0A2" w14:textId="77777777" w:rsidR="008952A4" w:rsidRPr="00271F9D" w:rsidRDefault="008952A4" w:rsidP="00D91C66">
            <w:pPr>
              <w:spacing w:after="0" w:line="240" w:lineRule="auto"/>
              <w:jc w:val="center"/>
              <w:rPr>
                <w:rFonts w:ascii="Arial" w:eastAsia="Times New Roman" w:hAnsi="Arial" w:cs="Arial"/>
                <w:sz w:val="16"/>
                <w:szCs w:val="16"/>
                <w:lang w:eastAsia="lt-LT"/>
              </w:rPr>
            </w:pPr>
          </w:p>
        </w:tc>
        <w:tc>
          <w:tcPr>
            <w:tcW w:w="1291" w:type="dxa"/>
            <w:gridSpan w:val="2"/>
            <w:shd w:val="clear" w:color="auto" w:fill="E2F0D9"/>
            <w:tcMar>
              <w:top w:w="72" w:type="dxa"/>
              <w:left w:w="144" w:type="dxa"/>
              <w:bottom w:w="72" w:type="dxa"/>
              <w:right w:w="144" w:type="dxa"/>
            </w:tcMar>
            <w:hideMark/>
          </w:tcPr>
          <w:p w14:paraId="4D60FE68"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val="fi-FI" w:eastAsia="lt-LT"/>
              </w:rPr>
              <w:t>Rizikos savininkas</w:t>
            </w:r>
          </w:p>
        </w:tc>
        <w:tc>
          <w:tcPr>
            <w:tcW w:w="1440" w:type="dxa"/>
            <w:gridSpan w:val="2"/>
            <w:shd w:val="clear" w:color="auto" w:fill="FFFFB3"/>
            <w:tcMar>
              <w:top w:w="72" w:type="dxa"/>
              <w:left w:w="144" w:type="dxa"/>
              <w:bottom w:w="72" w:type="dxa"/>
              <w:right w:w="144" w:type="dxa"/>
            </w:tcMar>
            <w:hideMark/>
          </w:tcPr>
          <w:p w14:paraId="1D0CC788"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Atitikties, BDAR, korupcijos, sukčiavimo, PPTF prevencijos darbuotojai</w:t>
            </w:r>
          </w:p>
        </w:tc>
        <w:tc>
          <w:tcPr>
            <w:tcW w:w="1545" w:type="dxa"/>
            <w:shd w:val="clear" w:color="auto" w:fill="FFFFB3"/>
            <w:tcMar>
              <w:top w:w="72" w:type="dxa"/>
              <w:left w:w="144" w:type="dxa"/>
              <w:bottom w:w="72" w:type="dxa"/>
              <w:right w:w="144" w:type="dxa"/>
            </w:tcMar>
            <w:hideMark/>
          </w:tcPr>
          <w:p w14:paraId="0E4F6787"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Rizikų vadovas</w:t>
            </w:r>
          </w:p>
        </w:tc>
        <w:tc>
          <w:tcPr>
            <w:tcW w:w="1559" w:type="dxa"/>
            <w:shd w:val="clear" w:color="auto" w:fill="FFFFB3"/>
            <w:tcMar>
              <w:top w:w="72" w:type="dxa"/>
              <w:left w:w="144" w:type="dxa"/>
              <w:bottom w:w="72" w:type="dxa"/>
              <w:right w:w="144" w:type="dxa"/>
            </w:tcMar>
            <w:hideMark/>
          </w:tcPr>
          <w:p w14:paraId="17436596"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Rizikos valdymo komitetas</w:t>
            </w:r>
          </w:p>
        </w:tc>
        <w:tc>
          <w:tcPr>
            <w:tcW w:w="1043" w:type="dxa"/>
            <w:shd w:val="clear" w:color="auto" w:fill="DEEBF7"/>
            <w:tcMar>
              <w:top w:w="72" w:type="dxa"/>
              <w:left w:w="144" w:type="dxa"/>
              <w:bottom w:w="72" w:type="dxa"/>
              <w:right w:w="144" w:type="dxa"/>
            </w:tcMar>
            <w:hideMark/>
          </w:tcPr>
          <w:p w14:paraId="0F9CE02C"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Vidaus audito skyrius</w:t>
            </w:r>
          </w:p>
        </w:tc>
        <w:tc>
          <w:tcPr>
            <w:tcW w:w="1650" w:type="dxa"/>
            <w:vMerge/>
            <w:vAlign w:val="center"/>
            <w:hideMark/>
          </w:tcPr>
          <w:p w14:paraId="10509FB3"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p>
        </w:tc>
        <w:tc>
          <w:tcPr>
            <w:tcW w:w="1701" w:type="dxa"/>
            <w:vMerge/>
            <w:vAlign w:val="center"/>
            <w:hideMark/>
          </w:tcPr>
          <w:p w14:paraId="000B53D9"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p>
        </w:tc>
        <w:tc>
          <w:tcPr>
            <w:tcW w:w="1578" w:type="dxa"/>
            <w:vMerge/>
            <w:vAlign w:val="center"/>
            <w:hideMark/>
          </w:tcPr>
          <w:p w14:paraId="4D9C59B0" w14:textId="77777777" w:rsidR="008952A4" w:rsidRPr="00271F9D" w:rsidRDefault="008952A4" w:rsidP="00D91C66">
            <w:pPr>
              <w:spacing w:after="0" w:line="240" w:lineRule="auto"/>
              <w:jc w:val="center"/>
              <w:rPr>
                <w:rFonts w:ascii="Arial" w:eastAsia="Times New Roman" w:hAnsi="Arial" w:cs="Arial"/>
                <w:b/>
                <w:bCs/>
                <w:sz w:val="16"/>
                <w:szCs w:val="16"/>
                <w:lang w:eastAsia="lt-LT"/>
              </w:rPr>
            </w:pPr>
          </w:p>
        </w:tc>
      </w:tr>
      <w:bookmarkEnd w:id="6"/>
      <w:tr w:rsidR="001125CE" w:rsidRPr="00271F9D" w14:paraId="6B2354D0" w14:textId="77777777" w:rsidTr="001125CE">
        <w:trPr>
          <w:trHeight w:val="312"/>
          <w:jc w:val="center"/>
        </w:trPr>
        <w:tc>
          <w:tcPr>
            <w:tcW w:w="1298" w:type="dxa"/>
            <w:vMerge w:val="restart"/>
            <w:shd w:val="clear" w:color="auto" w:fill="auto"/>
            <w:tcMar>
              <w:top w:w="72" w:type="dxa"/>
              <w:left w:w="144" w:type="dxa"/>
              <w:bottom w:w="72" w:type="dxa"/>
              <w:right w:w="144" w:type="dxa"/>
            </w:tcMar>
            <w:hideMark/>
          </w:tcPr>
          <w:p w14:paraId="1048BCBE" w14:textId="77777777" w:rsidR="001125CE" w:rsidRPr="00271F9D" w:rsidRDefault="001125CE" w:rsidP="00D91C66">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Taikymo sritis, kontekstas ir kriterijai</w:t>
            </w:r>
          </w:p>
        </w:tc>
        <w:tc>
          <w:tcPr>
            <w:tcW w:w="942" w:type="dxa"/>
            <w:gridSpan w:val="2"/>
            <w:shd w:val="clear" w:color="auto" w:fill="auto"/>
            <w:tcMar>
              <w:top w:w="72" w:type="dxa"/>
              <w:left w:w="144" w:type="dxa"/>
              <w:bottom w:w="72" w:type="dxa"/>
              <w:right w:w="144" w:type="dxa"/>
            </w:tcMar>
            <w:hideMark/>
          </w:tcPr>
          <w:p w14:paraId="517D7966" w14:textId="77777777" w:rsidR="001125CE" w:rsidRPr="00271F9D" w:rsidRDefault="001125CE" w:rsidP="00D91C66">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Rizikos valdymo politika</w:t>
            </w:r>
          </w:p>
        </w:tc>
        <w:tc>
          <w:tcPr>
            <w:tcW w:w="1291" w:type="dxa"/>
            <w:gridSpan w:val="2"/>
            <w:shd w:val="clear" w:color="auto" w:fill="E2F0D9"/>
            <w:tcMar>
              <w:top w:w="72" w:type="dxa"/>
              <w:left w:w="144" w:type="dxa"/>
              <w:bottom w:w="72" w:type="dxa"/>
              <w:right w:w="144" w:type="dxa"/>
            </w:tcMar>
            <w:hideMark/>
          </w:tcPr>
          <w:p w14:paraId="55A72D9F" w14:textId="77777777" w:rsidR="001125CE" w:rsidRPr="00271F9D" w:rsidRDefault="001125CE" w:rsidP="00D91C66">
            <w:pPr>
              <w:spacing w:after="0" w:line="240" w:lineRule="auto"/>
              <w:jc w:val="center"/>
              <w:rPr>
                <w:rFonts w:ascii="Arial" w:eastAsia="Times New Roman" w:hAnsi="Arial" w:cs="Arial"/>
                <w:sz w:val="16"/>
                <w:szCs w:val="16"/>
                <w:lang w:eastAsia="lt-LT"/>
              </w:rPr>
            </w:pPr>
          </w:p>
        </w:tc>
        <w:tc>
          <w:tcPr>
            <w:tcW w:w="1440" w:type="dxa"/>
            <w:gridSpan w:val="2"/>
            <w:shd w:val="clear" w:color="auto" w:fill="FFFFB3"/>
            <w:tcMar>
              <w:top w:w="72" w:type="dxa"/>
              <w:left w:w="144" w:type="dxa"/>
              <w:bottom w:w="72" w:type="dxa"/>
              <w:right w:w="144" w:type="dxa"/>
            </w:tcMar>
            <w:hideMark/>
          </w:tcPr>
          <w:p w14:paraId="098E185D" w14:textId="77777777" w:rsidR="001125CE" w:rsidRPr="00271F9D" w:rsidRDefault="001125CE" w:rsidP="00D91C66">
            <w:pPr>
              <w:spacing w:after="0" w:line="240" w:lineRule="auto"/>
              <w:jc w:val="center"/>
              <w:rPr>
                <w:rFonts w:ascii="Arial" w:eastAsia="Times New Roman" w:hAnsi="Arial" w:cs="Arial"/>
                <w:sz w:val="16"/>
                <w:szCs w:val="16"/>
                <w:lang w:eastAsia="lt-LT"/>
              </w:rPr>
            </w:pPr>
          </w:p>
        </w:tc>
        <w:tc>
          <w:tcPr>
            <w:tcW w:w="1545" w:type="dxa"/>
            <w:shd w:val="clear" w:color="auto" w:fill="FFFFB3"/>
            <w:tcMar>
              <w:top w:w="72" w:type="dxa"/>
              <w:left w:w="144" w:type="dxa"/>
              <w:bottom w:w="72" w:type="dxa"/>
              <w:right w:w="144" w:type="dxa"/>
            </w:tcMar>
            <w:hideMark/>
          </w:tcPr>
          <w:p w14:paraId="2B4954F8" w14:textId="77777777"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Rengia, peržiūri, atnaujina</w:t>
            </w:r>
          </w:p>
        </w:tc>
        <w:tc>
          <w:tcPr>
            <w:tcW w:w="1559" w:type="dxa"/>
            <w:shd w:val="clear" w:color="auto" w:fill="FFFFB3"/>
            <w:tcMar>
              <w:top w:w="72" w:type="dxa"/>
              <w:left w:w="144" w:type="dxa"/>
              <w:bottom w:w="72" w:type="dxa"/>
              <w:right w:w="144" w:type="dxa"/>
            </w:tcMar>
            <w:hideMark/>
          </w:tcPr>
          <w:p w14:paraId="374D75E0" w14:textId="77777777"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Svarsto, teikia siūlymus</w:t>
            </w:r>
          </w:p>
        </w:tc>
        <w:tc>
          <w:tcPr>
            <w:tcW w:w="1043" w:type="dxa"/>
            <w:vMerge w:val="restart"/>
            <w:shd w:val="clear" w:color="auto" w:fill="DEEBF7"/>
            <w:tcMar>
              <w:top w:w="72" w:type="dxa"/>
              <w:left w:w="144" w:type="dxa"/>
              <w:bottom w:w="72" w:type="dxa"/>
              <w:right w:w="144" w:type="dxa"/>
            </w:tcMar>
            <w:hideMark/>
          </w:tcPr>
          <w:p w14:paraId="31AFECAA" w14:textId="77777777"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Atlieka nepriklausomą rizikos valdymo sistemos bei atskirų priemonių veiksmingumo ir efektyvumo vertinimą</w:t>
            </w:r>
          </w:p>
        </w:tc>
        <w:tc>
          <w:tcPr>
            <w:tcW w:w="1650" w:type="dxa"/>
            <w:shd w:val="clear" w:color="auto" w:fill="BDD7EE"/>
            <w:tcMar>
              <w:top w:w="72" w:type="dxa"/>
              <w:left w:w="144" w:type="dxa"/>
              <w:bottom w:w="72" w:type="dxa"/>
              <w:right w:w="144" w:type="dxa"/>
            </w:tcMar>
            <w:hideMark/>
          </w:tcPr>
          <w:p w14:paraId="45170AE0" w14:textId="77777777"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Užtikrina įgyvendinimą Bendrovės veikloje</w:t>
            </w:r>
          </w:p>
        </w:tc>
        <w:tc>
          <w:tcPr>
            <w:tcW w:w="1701" w:type="dxa"/>
            <w:shd w:val="clear" w:color="auto" w:fill="BAEDF0"/>
            <w:tcMar>
              <w:top w:w="72" w:type="dxa"/>
              <w:left w:w="144" w:type="dxa"/>
              <w:bottom w:w="72" w:type="dxa"/>
              <w:right w:w="144" w:type="dxa"/>
            </w:tcMar>
            <w:hideMark/>
          </w:tcPr>
          <w:p w14:paraId="20091A67" w14:textId="77777777"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Svarsto, teikia siūlymus</w:t>
            </w:r>
          </w:p>
        </w:tc>
        <w:tc>
          <w:tcPr>
            <w:tcW w:w="1578" w:type="dxa"/>
            <w:shd w:val="clear" w:color="auto" w:fill="E2C8FC"/>
            <w:tcMar>
              <w:top w:w="72" w:type="dxa"/>
              <w:left w:w="144" w:type="dxa"/>
              <w:bottom w:w="72" w:type="dxa"/>
              <w:right w:w="144" w:type="dxa"/>
            </w:tcMar>
            <w:hideMark/>
          </w:tcPr>
          <w:p w14:paraId="1846B1E5" w14:textId="77777777"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Tvirtina</w:t>
            </w:r>
          </w:p>
        </w:tc>
      </w:tr>
      <w:tr w:rsidR="001125CE" w:rsidRPr="00271F9D" w14:paraId="0CCA7965" w14:textId="77777777" w:rsidTr="001125CE">
        <w:trPr>
          <w:trHeight w:val="887"/>
          <w:jc w:val="center"/>
        </w:trPr>
        <w:tc>
          <w:tcPr>
            <w:tcW w:w="1298" w:type="dxa"/>
            <w:vMerge/>
            <w:shd w:val="clear" w:color="auto" w:fill="auto"/>
            <w:vAlign w:val="center"/>
            <w:hideMark/>
          </w:tcPr>
          <w:p w14:paraId="4579995C" w14:textId="77777777" w:rsidR="001125CE" w:rsidRPr="00271F9D" w:rsidRDefault="001125CE" w:rsidP="00D91C66">
            <w:pPr>
              <w:spacing w:after="0" w:line="240" w:lineRule="auto"/>
              <w:jc w:val="center"/>
              <w:rPr>
                <w:rFonts w:ascii="Arial" w:eastAsia="Times New Roman" w:hAnsi="Arial" w:cs="Arial"/>
                <w:b/>
                <w:bCs/>
                <w:sz w:val="16"/>
                <w:szCs w:val="16"/>
                <w:lang w:eastAsia="lt-LT"/>
              </w:rPr>
            </w:pPr>
          </w:p>
        </w:tc>
        <w:tc>
          <w:tcPr>
            <w:tcW w:w="942" w:type="dxa"/>
            <w:gridSpan w:val="2"/>
            <w:shd w:val="clear" w:color="auto" w:fill="auto"/>
            <w:tcMar>
              <w:top w:w="72" w:type="dxa"/>
              <w:left w:w="144" w:type="dxa"/>
              <w:bottom w:w="72" w:type="dxa"/>
              <w:right w:w="144" w:type="dxa"/>
            </w:tcMar>
            <w:hideMark/>
          </w:tcPr>
          <w:p w14:paraId="64FD4A8B" w14:textId="77777777" w:rsidR="001125CE" w:rsidRPr="00271F9D" w:rsidRDefault="001125CE" w:rsidP="00D91C66">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Rizikos valdymo sistema</w:t>
            </w:r>
          </w:p>
        </w:tc>
        <w:tc>
          <w:tcPr>
            <w:tcW w:w="1291" w:type="dxa"/>
            <w:gridSpan w:val="2"/>
            <w:shd w:val="clear" w:color="auto" w:fill="E2F0D9"/>
            <w:tcMar>
              <w:top w:w="72" w:type="dxa"/>
              <w:left w:w="144" w:type="dxa"/>
              <w:bottom w:w="72" w:type="dxa"/>
              <w:right w:w="144" w:type="dxa"/>
            </w:tcMar>
            <w:hideMark/>
          </w:tcPr>
          <w:p w14:paraId="64219474" w14:textId="77777777" w:rsidR="001125CE" w:rsidRPr="00271F9D" w:rsidRDefault="001125CE" w:rsidP="00D91C66">
            <w:pPr>
              <w:spacing w:after="0" w:line="240" w:lineRule="auto"/>
              <w:jc w:val="center"/>
              <w:rPr>
                <w:rFonts w:ascii="Arial" w:eastAsia="Times New Roman" w:hAnsi="Arial" w:cs="Arial"/>
                <w:sz w:val="16"/>
                <w:szCs w:val="16"/>
                <w:lang w:eastAsia="lt-LT"/>
              </w:rPr>
            </w:pPr>
          </w:p>
        </w:tc>
        <w:tc>
          <w:tcPr>
            <w:tcW w:w="1440" w:type="dxa"/>
            <w:gridSpan w:val="2"/>
            <w:shd w:val="clear" w:color="auto" w:fill="FFFFB3"/>
            <w:tcMar>
              <w:top w:w="72" w:type="dxa"/>
              <w:left w:w="144" w:type="dxa"/>
              <w:bottom w:w="72" w:type="dxa"/>
              <w:right w:w="144" w:type="dxa"/>
            </w:tcMar>
            <w:hideMark/>
          </w:tcPr>
          <w:p w14:paraId="77491DCC" w14:textId="77777777" w:rsidR="001125CE" w:rsidRPr="00271F9D" w:rsidRDefault="001125CE" w:rsidP="00D91C66">
            <w:pPr>
              <w:spacing w:after="0" w:line="240" w:lineRule="auto"/>
              <w:jc w:val="center"/>
              <w:rPr>
                <w:rFonts w:ascii="Arial" w:eastAsia="Times New Roman" w:hAnsi="Arial" w:cs="Arial"/>
                <w:sz w:val="16"/>
                <w:szCs w:val="16"/>
                <w:lang w:eastAsia="lt-LT"/>
              </w:rPr>
            </w:pPr>
          </w:p>
        </w:tc>
        <w:tc>
          <w:tcPr>
            <w:tcW w:w="1545" w:type="dxa"/>
            <w:shd w:val="clear" w:color="auto" w:fill="FFFFB3"/>
            <w:tcMar>
              <w:top w:w="72" w:type="dxa"/>
              <w:left w:w="144" w:type="dxa"/>
              <w:bottom w:w="72" w:type="dxa"/>
              <w:right w:w="144" w:type="dxa"/>
            </w:tcMar>
            <w:hideMark/>
          </w:tcPr>
          <w:p w14:paraId="4B091E62" w14:textId="3C06E493"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Kuria, tobulina ir koordinuoja įgyvendinimą</w:t>
            </w:r>
          </w:p>
        </w:tc>
        <w:tc>
          <w:tcPr>
            <w:tcW w:w="1559" w:type="dxa"/>
            <w:shd w:val="clear" w:color="auto" w:fill="FFFFB3"/>
            <w:tcMar>
              <w:top w:w="72" w:type="dxa"/>
              <w:left w:w="144" w:type="dxa"/>
              <w:bottom w:w="72" w:type="dxa"/>
              <w:right w:w="144" w:type="dxa"/>
            </w:tcMar>
            <w:hideMark/>
          </w:tcPr>
          <w:p w14:paraId="37DF786F" w14:textId="6F7B9FBC"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Užtikrina  rizikos valdymo įgyvendinimą, ve</w:t>
            </w:r>
            <w:r w:rsidRPr="00271F9D">
              <w:rPr>
                <w:rFonts w:ascii="Arial" w:eastAsia="Times New Roman" w:hAnsi="Arial" w:cs="Arial"/>
                <w:color w:val="000000" w:themeColor="text1"/>
                <w:kern w:val="24"/>
                <w:sz w:val="16"/>
                <w:szCs w:val="16"/>
                <w:lang w:eastAsia="lt-LT"/>
              </w:rPr>
              <w:t>rtina rizikos valdymo sistemos efektyvumą, teikia siūlymus keisti ir tobulinti</w:t>
            </w:r>
          </w:p>
        </w:tc>
        <w:tc>
          <w:tcPr>
            <w:tcW w:w="1043" w:type="dxa"/>
            <w:vMerge/>
            <w:shd w:val="clear" w:color="auto" w:fill="DEEBF7"/>
            <w:tcMar>
              <w:top w:w="72" w:type="dxa"/>
              <w:left w:w="144" w:type="dxa"/>
              <w:bottom w:w="72" w:type="dxa"/>
              <w:right w:w="144" w:type="dxa"/>
            </w:tcMar>
            <w:hideMark/>
          </w:tcPr>
          <w:p w14:paraId="131C0435" w14:textId="77777777" w:rsidR="001125CE" w:rsidRPr="00271F9D" w:rsidRDefault="001125CE" w:rsidP="00D91C66">
            <w:pPr>
              <w:spacing w:after="0" w:line="240" w:lineRule="auto"/>
              <w:jc w:val="center"/>
              <w:rPr>
                <w:rFonts w:ascii="Arial" w:eastAsia="Times New Roman" w:hAnsi="Arial" w:cs="Arial"/>
                <w:sz w:val="16"/>
                <w:szCs w:val="16"/>
                <w:lang w:eastAsia="lt-LT"/>
              </w:rPr>
            </w:pPr>
          </w:p>
        </w:tc>
        <w:tc>
          <w:tcPr>
            <w:tcW w:w="1650" w:type="dxa"/>
            <w:shd w:val="clear" w:color="auto" w:fill="BDD7EE"/>
            <w:tcMar>
              <w:top w:w="72" w:type="dxa"/>
              <w:left w:w="144" w:type="dxa"/>
              <w:bottom w:w="72" w:type="dxa"/>
              <w:right w:w="144" w:type="dxa"/>
            </w:tcMar>
            <w:hideMark/>
          </w:tcPr>
          <w:p w14:paraId="34DA1C7A" w14:textId="77777777"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Atsako už veikimą Bendrovėje</w:t>
            </w:r>
          </w:p>
        </w:tc>
        <w:tc>
          <w:tcPr>
            <w:tcW w:w="1701" w:type="dxa"/>
            <w:shd w:val="clear" w:color="auto" w:fill="BAEDF0"/>
            <w:tcMar>
              <w:top w:w="72" w:type="dxa"/>
              <w:left w:w="144" w:type="dxa"/>
              <w:bottom w:w="72" w:type="dxa"/>
              <w:right w:w="144" w:type="dxa"/>
            </w:tcMar>
            <w:hideMark/>
          </w:tcPr>
          <w:p w14:paraId="2E834924" w14:textId="77777777"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Teikia nuomonę, komentarus, siūlymus keisti ir tobulinti</w:t>
            </w:r>
          </w:p>
        </w:tc>
        <w:tc>
          <w:tcPr>
            <w:tcW w:w="1578" w:type="dxa"/>
            <w:shd w:val="clear" w:color="auto" w:fill="E2C8FC"/>
            <w:tcMar>
              <w:top w:w="72" w:type="dxa"/>
              <w:left w:w="144" w:type="dxa"/>
              <w:bottom w:w="72" w:type="dxa"/>
              <w:right w:w="144" w:type="dxa"/>
            </w:tcMar>
            <w:hideMark/>
          </w:tcPr>
          <w:p w14:paraId="7D99B53A" w14:textId="77777777"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Teikia siūlymus keisti ir tobulinti</w:t>
            </w:r>
          </w:p>
        </w:tc>
      </w:tr>
      <w:tr w:rsidR="001125CE" w:rsidRPr="00271F9D" w14:paraId="1DC60B88" w14:textId="77777777" w:rsidTr="001125CE">
        <w:trPr>
          <w:trHeight w:val="221"/>
          <w:jc w:val="center"/>
        </w:trPr>
        <w:tc>
          <w:tcPr>
            <w:tcW w:w="1298" w:type="dxa"/>
            <w:vMerge/>
            <w:shd w:val="clear" w:color="auto" w:fill="auto"/>
            <w:vAlign w:val="center"/>
            <w:hideMark/>
          </w:tcPr>
          <w:p w14:paraId="4E9FCCF7" w14:textId="77777777" w:rsidR="001125CE" w:rsidRPr="00271F9D" w:rsidRDefault="001125CE" w:rsidP="00D91C66">
            <w:pPr>
              <w:spacing w:after="0" w:line="240" w:lineRule="auto"/>
              <w:jc w:val="center"/>
              <w:rPr>
                <w:rFonts w:ascii="Arial" w:eastAsia="Times New Roman" w:hAnsi="Arial" w:cs="Arial"/>
                <w:b/>
                <w:bCs/>
                <w:sz w:val="16"/>
                <w:szCs w:val="16"/>
                <w:lang w:eastAsia="lt-LT"/>
              </w:rPr>
            </w:pPr>
          </w:p>
        </w:tc>
        <w:tc>
          <w:tcPr>
            <w:tcW w:w="942" w:type="dxa"/>
            <w:gridSpan w:val="2"/>
            <w:shd w:val="clear" w:color="auto" w:fill="auto"/>
            <w:tcMar>
              <w:top w:w="72" w:type="dxa"/>
              <w:left w:w="144" w:type="dxa"/>
              <w:bottom w:w="72" w:type="dxa"/>
              <w:right w:w="144" w:type="dxa"/>
            </w:tcMar>
            <w:hideMark/>
          </w:tcPr>
          <w:p w14:paraId="6386FF30" w14:textId="77777777" w:rsidR="001125CE" w:rsidRPr="00271F9D" w:rsidRDefault="001125CE" w:rsidP="00D91C66">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Rizikos apetitas</w:t>
            </w:r>
          </w:p>
        </w:tc>
        <w:tc>
          <w:tcPr>
            <w:tcW w:w="1291" w:type="dxa"/>
            <w:gridSpan w:val="2"/>
            <w:shd w:val="clear" w:color="auto" w:fill="E2F0D9"/>
            <w:tcMar>
              <w:top w:w="72" w:type="dxa"/>
              <w:left w:w="144" w:type="dxa"/>
              <w:bottom w:w="72" w:type="dxa"/>
              <w:right w:w="144" w:type="dxa"/>
            </w:tcMar>
            <w:hideMark/>
          </w:tcPr>
          <w:p w14:paraId="4CF8BE03" w14:textId="77777777" w:rsidR="001125CE" w:rsidRPr="00271F9D" w:rsidRDefault="001125CE" w:rsidP="00D91C66">
            <w:pPr>
              <w:spacing w:after="0" w:line="240" w:lineRule="auto"/>
              <w:jc w:val="center"/>
              <w:rPr>
                <w:rFonts w:ascii="Arial" w:eastAsia="Times New Roman" w:hAnsi="Arial" w:cs="Arial"/>
                <w:sz w:val="16"/>
                <w:szCs w:val="16"/>
                <w:lang w:eastAsia="lt-LT"/>
              </w:rPr>
            </w:pPr>
          </w:p>
        </w:tc>
        <w:tc>
          <w:tcPr>
            <w:tcW w:w="1440" w:type="dxa"/>
            <w:gridSpan w:val="2"/>
            <w:shd w:val="clear" w:color="auto" w:fill="FFFFB3"/>
            <w:tcMar>
              <w:top w:w="72" w:type="dxa"/>
              <w:left w:w="144" w:type="dxa"/>
              <w:bottom w:w="72" w:type="dxa"/>
              <w:right w:w="144" w:type="dxa"/>
            </w:tcMar>
            <w:hideMark/>
          </w:tcPr>
          <w:p w14:paraId="7D9E504E" w14:textId="77777777" w:rsidR="001125CE" w:rsidRPr="00271F9D" w:rsidRDefault="001125CE" w:rsidP="00D91C66">
            <w:pPr>
              <w:spacing w:after="0" w:line="240" w:lineRule="auto"/>
              <w:jc w:val="center"/>
              <w:rPr>
                <w:rFonts w:ascii="Arial" w:eastAsia="Times New Roman" w:hAnsi="Arial" w:cs="Arial"/>
                <w:sz w:val="16"/>
                <w:szCs w:val="16"/>
                <w:lang w:eastAsia="lt-LT"/>
              </w:rPr>
            </w:pPr>
          </w:p>
        </w:tc>
        <w:tc>
          <w:tcPr>
            <w:tcW w:w="1545" w:type="dxa"/>
            <w:shd w:val="clear" w:color="auto" w:fill="FFFFB3"/>
            <w:tcMar>
              <w:top w:w="72" w:type="dxa"/>
              <w:left w:w="144" w:type="dxa"/>
              <w:bottom w:w="72" w:type="dxa"/>
              <w:right w:w="144" w:type="dxa"/>
            </w:tcMar>
            <w:hideMark/>
          </w:tcPr>
          <w:p w14:paraId="3D7BAAA9" w14:textId="77777777"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Rengia</w:t>
            </w:r>
          </w:p>
        </w:tc>
        <w:tc>
          <w:tcPr>
            <w:tcW w:w="1559" w:type="dxa"/>
            <w:shd w:val="clear" w:color="auto" w:fill="FFFFB3"/>
            <w:tcMar>
              <w:top w:w="72" w:type="dxa"/>
              <w:left w:w="144" w:type="dxa"/>
              <w:bottom w:w="72" w:type="dxa"/>
              <w:right w:w="144" w:type="dxa"/>
            </w:tcMar>
            <w:hideMark/>
          </w:tcPr>
          <w:p w14:paraId="4C4EE5A4" w14:textId="77777777"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Svarsto, teikia siūlymus</w:t>
            </w:r>
          </w:p>
        </w:tc>
        <w:tc>
          <w:tcPr>
            <w:tcW w:w="1043" w:type="dxa"/>
            <w:vMerge/>
            <w:shd w:val="clear" w:color="auto" w:fill="DEEBF7"/>
            <w:tcMar>
              <w:top w:w="72" w:type="dxa"/>
              <w:left w:w="144" w:type="dxa"/>
              <w:bottom w:w="72" w:type="dxa"/>
              <w:right w:w="144" w:type="dxa"/>
            </w:tcMar>
            <w:hideMark/>
          </w:tcPr>
          <w:p w14:paraId="09CCB307" w14:textId="77777777" w:rsidR="001125CE" w:rsidRPr="00271F9D" w:rsidRDefault="001125CE" w:rsidP="00D91C66">
            <w:pPr>
              <w:spacing w:after="0" w:line="240" w:lineRule="auto"/>
              <w:jc w:val="center"/>
              <w:rPr>
                <w:rFonts w:ascii="Arial" w:eastAsia="Times New Roman" w:hAnsi="Arial" w:cs="Arial"/>
                <w:sz w:val="16"/>
                <w:szCs w:val="16"/>
                <w:lang w:eastAsia="lt-LT"/>
              </w:rPr>
            </w:pPr>
          </w:p>
        </w:tc>
        <w:tc>
          <w:tcPr>
            <w:tcW w:w="1650" w:type="dxa"/>
            <w:shd w:val="clear" w:color="auto" w:fill="BDD7EE"/>
            <w:tcMar>
              <w:top w:w="72" w:type="dxa"/>
              <w:left w:w="144" w:type="dxa"/>
              <w:bottom w:w="72" w:type="dxa"/>
              <w:right w:w="144" w:type="dxa"/>
            </w:tcMar>
            <w:hideMark/>
          </w:tcPr>
          <w:p w14:paraId="0CFCBCFB" w14:textId="77777777" w:rsidR="001125CE" w:rsidRPr="00271F9D" w:rsidRDefault="001125CE" w:rsidP="00D91C66">
            <w:pPr>
              <w:spacing w:after="0" w:line="240" w:lineRule="auto"/>
              <w:jc w:val="center"/>
              <w:rPr>
                <w:rFonts w:ascii="Arial" w:eastAsia="Times New Roman" w:hAnsi="Arial" w:cs="Arial"/>
                <w:sz w:val="16"/>
                <w:szCs w:val="16"/>
                <w:lang w:eastAsia="lt-LT"/>
              </w:rPr>
            </w:pPr>
          </w:p>
        </w:tc>
        <w:tc>
          <w:tcPr>
            <w:tcW w:w="1701" w:type="dxa"/>
            <w:shd w:val="clear" w:color="auto" w:fill="BAEDF0"/>
            <w:tcMar>
              <w:top w:w="72" w:type="dxa"/>
              <w:left w:w="144" w:type="dxa"/>
              <w:bottom w:w="72" w:type="dxa"/>
              <w:right w:w="144" w:type="dxa"/>
            </w:tcMar>
            <w:hideMark/>
          </w:tcPr>
          <w:p w14:paraId="56EAADD1" w14:textId="77777777"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Svarsto, teikia siūlymus</w:t>
            </w:r>
          </w:p>
        </w:tc>
        <w:tc>
          <w:tcPr>
            <w:tcW w:w="1578" w:type="dxa"/>
            <w:shd w:val="clear" w:color="auto" w:fill="E2C8FC"/>
            <w:tcMar>
              <w:top w:w="72" w:type="dxa"/>
              <w:left w:w="144" w:type="dxa"/>
              <w:bottom w:w="72" w:type="dxa"/>
              <w:right w:w="144" w:type="dxa"/>
            </w:tcMar>
            <w:hideMark/>
          </w:tcPr>
          <w:p w14:paraId="041B1374" w14:textId="77777777" w:rsidR="001125CE" w:rsidRPr="00271F9D" w:rsidRDefault="001125CE" w:rsidP="00D91C66">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Tvirtina</w:t>
            </w:r>
          </w:p>
        </w:tc>
      </w:tr>
      <w:tr w:rsidR="001125CE" w:rsidRPr="00271F9D" w14:paraId="382D4099" w14:textId="77777777" w:rsidTr="001125CE">
        <w:trPr>
          <w:trHeight w:val="946"/>
          <w:jc w:val="center"/>
        </w:trPr>
        <w:tc>
          <w:tcPr>
            <w:tcW w:w="1298" w:type="dxa"/>
            <w:vMerge/>
            <w:shd w:val="clear" w:color="auto" w:fill="auto"/>
            <w:hideMark/>
          </w:tcPr>
          <w:p w14:paraId="51B51155" w14:textId="4AF0B297" w:rsidR="001125CE" w:rsidRPr="00271F9D" w:rsidRDefault="001125CE" w:rsidP="001125CE">
            <w:pPr>
              <w:spacing w:after="0" w:line="240" w:lineRule="auto"/>
              <w:jc w:val="center"/>
              <w:rPr>
                <w:rFonts w:ascii="Arial" w:eastAsia="Times New Roman" w:hAnsi="Arial" w:cs="Arial"/>
                <w:b/>
                <w:bCs/>
                <w:sz w:val="16"/>
                <w:szCs w:val="16"/>
                <w:lang w:eastAsia="lt-LT"/>
              </w:rPr>
            </w:pPr>
          </w:p>
        </w:tc>
        <w:tc>
          <w:tcPr>
            <w:tcW w:w="942" w:type="dxa"/>
            <w:gridSpan w:val="2"/>
            <w:shd w:val="clear" w:color="auto" w:fill="auto"/>
            <w:tcMar>
              <w:top w:w="72" w:type="dxa"/>
              <w:left w:w="144" w:type="dxa"/>
              <w:bottom w:w="72" w:type="dxa"/>
              <w:right w:w="144" w:type="dxa"/>
            </w:tcMar>
            <w:hideMark/>
          </w:tcPr>
          <w:p w14:paraId="2A66DB2C"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Rizikos valdymo tvarka</w:t>
            </w:r>
          </w:p>
        </w:tc>
        <w:tc>
          <w:tcPr>
            <w:tcW w:w="1291" w:type="dxa"/>
            <w:gridSpan w:val="2"/>
            <w:shd w:val="clear" w:color="auto" w:fill="E2F0D9"/>
            <w:tcMar>
              <w:top w:w="72" w:type="dxa"/>
              <w:left w:w="144" w:type="dxa"/>
              <w:bottom w:w="72" w:type="dxa"/>
              <w:right w:w="144" w:type="dxa"/>
            </w:tcMar>
            <w:hideMark/>
          </w:tcPr>
          <w:p w14:paraId="46F2F309"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440" w:type="dxa"/>
            <w:gridSpan w:val="2"/>
            <w:shd w:val="clear" w:color="auto" w:fill="FFFFB3"/>
            <w:tcMar>
              <w:top w:w="72" w:type="dxa"/>
              <w:left w:w="144" w:type="dxa"/>
              <w:bottom w:w="72" w:type="dxa"/>
              <w:right w:w="144" w:type="dxa"/>
            </w:tcMar>
            <w:hideMark/>
          </w:tcPr>
          <w:p w14:paraId="7162881E"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Rengia, peržiūri, atnaujina</w:t>
            </w:r>
            <w:r w:rsidRPr="00271F9D">
              <w:rPr>
                <w:rFonts w:ascii="Arial" w:hAnsi="Arial" w:cs="Arial"/>
                <w:sz w:val="16"/>
                <w:szCs w:val="16"/>
              </w:rPr>
              <w:t xml:space="preserve"> </w:t>
            </w:r>
            <w:r w:rsidRPr="00271F9D">
              <w:rPr>
                <w:rFonts w:ascii="Arial" w:eastAsia="Times New Roman" w:hAnsi="Arial" w:cs="Arial"/>
                <w:sz w:val="16"/>
                <w:szCs w:val="16"/>
                <w:lang w:eastAsia="lt-LT"/>
              </w:rPr>
              <w:t>Bendrovės vidaus dokumentus, įgyvendinančius Politikoje skelbiamas nuostatas</w:t>
            </w:r>
          </w:p>
        </w:tc>
        <w:tc>
          <w:tcPr>
            <w:tcW w:w="1545" w:type="dxa"/>
            <w:shd w:val="clear" w:color="auto" w:fill="FFFFB3"/>
            <w:tcMar>
              <w:top w:w="72" w:type="dxa"/>
              <w:left w:w="144" w:type="dxa"/>
              <w:bottom w:w="72" w:type="dxa"/>
              <w:right w:w="144" w:type="dxa"/>
            </w:tcMar>
            <w:hideMark/>
          </w:tcPr>
          <w:p w14:paraId="6C0CDDA8"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Rengia, peržiūri, atnaujina</w:t>
            </w:r>
          </w:p>
        </w:tc>
        <w:tc>
          <w:tcPr>
            <w:tcW w:w="1559" w:type="dxa"/>
            <w:shd w:val="clear" w:color="auto" w:fill="FFFFB3"/>
            <w:tcMar>
              <w:top w:w="72" w:type="dxa"/>
              <w:left w:w="144" w:type="dxa"/>
              <w:bottom w:w="72" w:type="dxa"/>
              <w:right w:w="144" w:type="dxa"/>
            </w:tcMar>
            <w:hideMark/>
          </w:tcPr>
          <w:p w14:paraId="44A0727D"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Svarsto, teikia siūlymus</w:t>
            </w:r>
          </w:p>
        </w:tc>
        <w:tc>
          <w:tcPr>
            <w:tcW w:w="1043" w:type="dxa"/>
            <w:vMerge/>
            <w:shd w:val="clear" w:color="auto" w:fill="DEEBF7"/>
            <w:tcMar>
              <w:top w:w="72" w:type="dxa"/>
              <w:left w:w="144" w:type="dxa"/>
              <w:bottom w:w="72" w:type="dxa"/>
              <w:right w:w="144" w:type="dxa"/>
            </w:tcMar>
            <w:hideMark/>
          </w:tcPr>
          <w:p w14:paraId="5A54F402"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650" w:type="dxa"/>
            <w:shd w:val="clear" w:color="auto" w:fill="BDD7EE"/>
            <w:tcMar>
              <w:top w:w="72" w:type="dxa"/>
              <w:left w:w="144" w:type="dxa"/>
              <w:bottom w:w="72" w:type="dxa"/>
              <w:right w:w="144" w:type="dxa"/>
            </w:tcMar>
            <w:hideMark/>
          </w:tcPr>
          <w:p w14:paraId="0821DF53"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Tvirtina</w:t>
            </w:r>
          </w:p>
        </w:tc>
        <w:tc>
          <w:tcPr>
            <w:tcW w:w="1701" w:type="dxa"/>
            <w:shd w:val="clear" w:color="auto" w:fill="BAEDF0"/>
            <w:tcMar>
              <w:top w:w="72" w:type="dxa"/>
              <w:left w:w="144" w:type="dxa"/>
              <w:bottom w:w="72" w:type="dxa"/>
              <w:right w:w="144" w:type="dxa"/>
            </w:tcMar>
            <w:hideMark/>
          </w:tcPr>
          <w:p w14:paraId="16812A87"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Susipažįsta su vidaus dokumentais, reglamentuojančiais rizikos valdymą ir teikia rekomendacijas</w:t>
            </w:r>
          </w:p>
        </w:tc>
        <w:tc>
          <w:tcPr>
            <w:tcW w:w="1578" w:type="dxa"/>
            <w:shd w:val="clear" w:color="auto" w:fill="E2C8FC"/>
            <w:tcMar>
              <w:top w:w="72" w:type="dxa"/>
              <w:left w:w="144" w:type="dxa"/>
              <w:bottom w:w="72" w:type="dxa"/>
              <w:right w:w="144" w:type="dxa"/>
            </w:tcMar>
            <w:hideMark/>
          </w:tcPr>
          <w:p w14:paraId="7449396F"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r>
      <w:tr w:rsidR="001125CE" w:rsidRPr="00271F9D" w14:paraId="724B94A7" w14:textId="77777777" w:rsidTr="001125CE">
        <w:trPr>
          <w:trHeight w:val="344"/>
          <w:jc w:val="center"/>
        </w:trPr>
        <w:tc>
          <w:tcPr>
            <w:tcW w:w="1298" w:type="dxa"/>
            <w:vMerge/>
            <w:shd w:val="clear" w:color="auto" w:fill="auto"/>
            <w:vAlign w:val="center"/>
            <w:hideMark/>
          </w:tcPr>
          <w:p w14:paraId="3B140F5D"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p>
        </w:tc>
        <w:tc>
          <w:tcPr>
            <w:tcW w:w="942" w:type="dxa"/>
            <w:gridSpan w:val="2"/>
            <w:shd w:val="clear" w:color="auto" w:fill="auto"/>
            <w:tcMar>
              <w:top w:w="72" w:type="dxa"/>
              <w:left w:w="144" w:type="dxa"/>
              <w:bottom w:w="72" w:type="dxa"/>
              <w:right w:w="144" w:type="dxa"/>
            </w:tcMar>
            <w:hideMark/>
          </w:tcPr>
          <w:p w14:paraId="0B9E3E34"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Rizikos valdymo kultūra</w:t>
            </w:r>
          </w:p>
        </w:tc>
        <w:tc>
          <w:tcPr>
            <w:tcW w:w="1291" w:type="dxa"/>
            <w:gridSpan w:val="2"/>
            <w:shd w:val="clear" w:color="auto" w:fill="E2F0D9"/>
            <w:tcMar>
              <w:top w:w="72" w:type="dxa"/>
              <w:left w:w="144" w:type="dxa"/>
              <w:bottom w:w="72" w:type="dxa"/>
              <w:right w:w="144" w:type="dxa"/>
            </w:tcMar>
            <w:hideMark/>
          </w:tcPr>
          <w:p w14:paraId="50C4F515" w14:textId="42F943D2" w:rsidR="001125CE" w:rsidRPr="00271F9D" w:rsidRDefault="001125CE" w:rsidP="001125CE">
            <w:pPr>
              <w:spacing w:after="0" w:line="240" w:lineRule="auto"/>
              <w:jc w:val="center"/>
              <w:rPr>
                <w:rFonts w:ascii="Arial" w:eastAsia="Times New Roman" w:hAnsi="Arial" w:cs="Arial"/>
                <w:sz w:val="16"/>
                <w:szCs w:val="16"/>
                <w:highlight w:val="yellow"/>
                <w:lang w:eastAsia="lt-LT"/>
              </w:rPr>
            </w:pPr>
            <w:r w:rsidRPr="00271F9D">
              <w:rPr>
                <w:rFonts w:ascii="Arial" w:hAnsi="Arial" w:cs="Arial"/>
                <w:sz w:val="16"/>
                <w:szCs w:val="16"/>
              </w:rPr>
              <w:t>Prisideda prie rizikos valdymo kultūros formavimo</w:t>
            </w:r>
          </w:p>
        </w:tc>
        <w:tc>
          <w:tcPr>
            <w:tcW w:w="1440" w:type="dxa"/>
            <w:gridSpan w:val="2"/>
            <w:shd w:val="clear" w:color="auto" w:fill="FFFFB3"/>
            <w:tcMar>
              <w:top w:w="72" w:type="dxa"/>
              <w:left w:w="144" w:type="dxa"/>
              <w:bottom w:w="72" w:type="dxa"/>
              <w:right w:w="144" w:type="dxa"/>
            </w:tcMar>
            <w:hideMark/>
          </w:tcPr>
          <w:p w14:paraId="2EFAF634" w14:textId="32F3857C" w:rsidR="001125CE" w:rsidRPr="00271F9D" w:rsidRDefault="001125CE" w:rsidP="001125CE">
            <w:pPr>
              <w:spacing w:after="0" w:line="240" w:lineRule="auto"/>
              <w:jc w:val="center"/>
              <w:rPr>
                <w:rFonts w:ascii="Arial" w:eastAsia="Times New Roman" w:hAnsi="Arial" w:cs="Arial"/>
                <w:sz w:val="16"/>
                <w:szCs w:val="16"/>
                <w:highlight w:val="yellow"/>
                <w:lang w:eastAsia="lt-LT"/>
              </w:rPr>
            </w:pPr>
            <w:r w:rsidRPr="00271F9D">
              <w:rPr>
                <w:rFonts w:ascii="Arial" w:eastAsia="Times New Roman" w:hAnsi="Arial" w:cs="Arial"/>
                <w:sz w:val="16"/>
                <w:szCs w:val="16"/>
                <w:lang w:eastAsia="lt-LT"/>
              </w:rPr>
              <w:t>Prisideda prie rizikos valdymo kultūros formavimo, organizuoja mokymus rizikų savininkams</w:t>
            </w:r>
          </w:p>
        </w:tc>
        <w:tc>
          <w:tcPr>
            <w:tcW w:w="1545" w:type="dxa"/>
            <w:shd w:val="clear" w:color="auto" w:fill="FFFFB3"/>
            <w:tcMar>
              <w:top w:w="72" w:type="dxa"/>
              <w:left w:w="144" w:type="dxa"/>
              <w:bottom w:w="72" w:type="dxa"/>
              <w:right w:w="144" w:type="dxa"/>
            </w:tcMar>
            <w:hideMark/>
          </w:tcPr>
          <w:p w14:paraId="6CC3FEFB" w14:textId="36D3DCCE"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Prisideda prie rizikos valdymo kultūros formavimo, organizuoja mokymus rizikų savininkams</w:t>
            </w:r>
          </w:p>
        </w:tc>
        <w:tc>
          <w:tcPr>
            <w:tcW w:w="1559" w:type="dxa"/>
            <w:shd w:val="clear" w:color="auto" w:fill="FFFFB3"/>
            <w:tcMar>
              <w:top w:w="72" w:type="dxa"/>
              <w:left w:w="144" w:type="dxa"/>
              <w:bottom w:w="72" w:type="dxa"/>
              <w:right w:w="144" w:type="dxa"/>
            </w:tcMar>
            <w:hideMark/>
          </w:tcPr>
          <w:p w14:paraId="3619D813" w14:textId="2865B740" w:rsidR="001125CE" w:rsidRPr="00271F9D" w:rsidRDefault="001125CE" w:rsidP="001125CE">
            <w:pPr>
              <w:spacing w:after="0" w:line="240" w:lineRule="auto"/>
              <w:jc w:val="center"/>
              <w:rPr>
                <w:rFonts w:ascii="Arial" w:eastAsia="Times New Roman" w:hAnsi="Arial" w:cs="Arial"/>
                <w:sz w:val="16"/>
                <w:szCs w:val="16"/>
                <w:highlight w:val="yellow"/>
                <w:lang w:eastAsia="lt-LT"/>
              </w:rPr>
            </w:pPr>
            <w:r w:rsidRPr="00271F9D">
              <w:rPr>
                <w:rFonts w:ascii="Arial" w:eastAsia="Times New Roman" w:hAnsi="Arial" w:cs="Arial"/>
                <w:sz w:val="16"/>
                <w:szCs w:val="16"/>
                <w:lang w:eastAsia="lt-LT"/>
              </w:rPr>
              <w:t>Prisideda prie rizikos valdymo kultūros formavimo</w:t>
            </w:r>
          </w:p>
        </w:tc>
        <w:tc>
          <w:tcPr>
            <w:tcW w:w="1043" w:type="dxa"/>
            <w:vMerge/>
            <w:shd w:val="clear" w:color="auto" w:fill="DEEBF7"/>
            <w:tcMar>
              <w:top w:w="72" w:type="dxa"/>
              <w:left w:w="144" w:type="dxa"/>
              <w:bottom w:w="72" w:type="dxa"/>
              <w:right w:w="144" w:type="dxa"/>
            </w:tcMar>
            <w:hideMark/>
          </w:tcPr>
          <w:p w14:paraId="1883122B"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650" w:type="dxa"/>
            <w:shd w:val="clear" w:color="auto" w:fill="BDD7EE"/>
            <w:tcMar>
              <w:top w:w="72" w:type="dxa"/>
              <w:left w:w="144" w:type="dxa"/>
              <w:bottom w:w="72" w:type="dxa"/>
              <w:right w:w="144" w:type="dxa"/>
            </w:tcMar>
            <w:hideMark/>
          </w:tcPr>
          <w:p w14:paraId="775CB71C" w14:textId="1638E3CF"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Formuoja rizikos valdymo kultūrą, skatina darbuotojus valdyti rizikas ir atvirai bei sąžiningai komunikuoti apie jas Bendrovėje</w:t>
            </w:r>
          </w:p>
        </w:tc>
        <w:tc>
          <w:tcPr>
            <w:tcW w:w="1701" w:type="dxa"/>
            <w:shd w:val="clear" w:color="auto" w:fill="BAEDF0"/>
            <w:tcMar>
              <w:top w:w="72" w:type="dxa"/>
              <w:left w:w="144" w:type="dxa"/>
              <w:bottom w:w="72" w:type="dxa"/>
              <w:right w:w="144" w:type="dxa"/>
            </w:tcMar>
            <w:hideMark/>
          </w:tcPr>
          <w:p w14:paraId="3AE9B5EB" w14:textId="2B47D706" w:rsidR="001125CE" w:rsidRPr="00271F9D" w:rsidRDefault="001125CE" w:rsidP="001125CE">
            <w:pPr>
              <w:spacing w:after="0" w:line="240" w:lineRule="auto"/>
              <w:jc w:val="center"/>
              <w:rPr>
                <w:rFonts w:ascii="Arial" w:eastAsia="Times New Roman" w:hAnsi="Arial" w:cs="Arial"/>
                <w:sz w:val="16"/>
                <w:szCs w:val="16"/>
                <w:highlight w:val="yellow"/>
                <w:lang w:eastAsia="lt-LT"/>
              </w:rPr>
            </w:pPr>
            <w:r w:rsidRPr="00271F9D">
              <w:rPr>
                <w:rFonts w:ascii="Arial" w:eastAsia="Times New Roman" w:hAnsi="Arial" w:cs="Arial"/>
                <w:sz w:val="16"/>
                <w:szCs w:val="16"/>
                <w:lang w:eastAsia="lt-LT"/>
              </w:rPr>
              <w:t>Teikia nuomonę, komentarus, siūlymus keisti ir tobulinti</w:t>
            </w:r>
          </w:p>
        </w:tc>
        <w:tc>
          <w:tcPr>
            <w:tcW w:w="1578" w:type="dxa"/>
            <w:shd w:val="clear" w:color="auto" w:fill="E2C8FC"/>
            <w:tcMar>
              <w:top w:w="72" w:type="dxa"/>
              <w:left w:w="144" w:type="dxa"/>
              <w:bottom w:w="72" w:type="dxa"/>
              <w:right w:w="144" w:type="dxa"/>
            </w:tcMar>
            <w:hideMark/>
          </w:tcPr>
          <w:p w14:paraId="24D54435" w14:textId="31E34650"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Nustato lūkesčius rizikos valdymo kultūrai</w:t>
            </w:r>
          </w:p>
          <w:p w14:paraId="32F4BEE1" w14:textId="1D5BE776" w:rsidR="001125CE" w:rsidRPr="00271F9D" w:rsidRDefault="001125CE" w:rsidP="001125CE">
            <w:pPr>
              <w:spacing w:after="0" w:line="240" w:lineRule="auto"/>
              <w:jc w:val="center"/>
              <w:rPr>
                <w:rFonts w:ascii="Arial" w:eastAsia="Times New Roman" w:hAnsi="Arial" w:cs="Arial"/>
                <w:sz w:val="16"/>
                <w:szCs w:val="16"/>
                <w:lang w:eastAsia="lt-LT"/>
              </w:rPr>
            </w:pPr>
          </w:p>
        </w:tc>
      </w:tr>
      <w:tr w:rsidR="001125CE" w:rsidRPr="00271F9D" w14:paraId="20D174D7" w14:textId="77777777" w:rsidTr="001125CE">
        <w:trPr>
          <w:trHeight w:val="208"/>
          <w:jc w:val="center"/>
        </w:trPr>
        <w:tc>
          <w:tcPr>
            <w:tcW w:w="1413" w:type="dxa"/>
            <w:gridSpan w:val="2"/>
            <w:vMerge w:val="restart"/>
            <w:shd w:val="clear" w:color="auto" w:fill="auto"/>
            <w:tcMar>
              <w:top w:w="72" w:type="dxa"/>
              <w:left w:w="144" w:type="dxa"/>
              <w:bottom w:w="72" w:type="dxa"/>
              <w:right w:w="144" w:type="dxa"/>
            </w:tcMar>
            <w:hideMark/>
          </w:tcPr>
          <w:p w14:paraId="27EA5935"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bookmarkStart w:id="7" w:name="_Hlk79418967"/>
            <w:r w:rsidRPr="00271F9D">
              <w:rPr>
                <w:rFonts w:ascii="Arial" w:eastAsia="Times New Roman" w:hAnsi="Arial" w:cs="Arial"/>
                <w:b/>
                <w:bCs/>
                <w:sz w:val="16"/>
                <w:szCs w:val="16"/>
                <w:lang w:eastAsia="lt-LT"/>
              </w:rPr>
              <w:lastRenderedPageBreak/>
              <w:t>Procesas</w:t>
            </w:r>
          </w:p>
        </w:tc>
        <w:tc>
          <w:tcPr>
            <w:tcW w:w="1701" w:type="dxa"/>
            <w:gridSpan w:val="2"/>
            <w:shd w:val="clear" w:color="auto" w:fill="E2F0D9"/>
            <w:tcMar>
              <w:top w:w="72" w:type="dxa"/>
              <w:left w:w="144" w:type="dxa"/>
              <w:bottom w:w="72" w:type="dxa"/>
              <w:right w:w="144" w:type="dxa"/>
            </w:tcMar>
            <w:hideMark/>
          </w:tcPr>
          <w:p w14:paraId="646D0604"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val="fi-FI" w:eastAsia="lt-LT"/>
              </w:rPr>
              <w:t>I gynybos linija</w:t>
            </w:r>
          </w:p>
        </w:tc>
        <w:tc>
          <w:tcPr>
            <w:tcW w:w="4961" w:type="dxa"/>
            <w:gridSpan w:val="5"/>
            <w:shd w:val="clear" w:color="auto" w:fill="FFFFB3"/>
            <w:tcMar>
              <w:top w:w="72" w:type="dxa"/>
              <w:left w:w="144" w:type="dxa"/>
              <w:bottom w:w="72" w:type="dxa"/>
              <w:right w:w="144" w:type="dxa"/>
            </w:tcMar>
            <w:hideMark/>
          </w:tcPr>
          <w:p w14:paraId="458CB765"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II gynybos linija</w:t>
            </w:r>
          </w:p>
        </w:tc>
        <w:tc>
          <w:tcPr>
            <w:tcW w:w="1043" w:type="dxa"/>
            <w:shd w:val="clear" w:color="auto" w:fill="DEEBF7"/>
            <w:tcMar>
              <w:top w:w="72" w:type="dxa"/>
              <w:left w:w="144" w:type="dxa"/>
              <w:bottom w:w="72" w:type="dxa"/>
              <w:right w:w="144" w:type="dxa"/>
            </w:tcMar>
            <w:hideMark/>
          </w:tcPr>
          <w:p w14:paraId="426485C4"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III gynybos linija</w:t>
            </w:r>
          </w:p>
        </w:tc>
        <w:tc>
          <w:tcPr>
            <w:tcW w:w="1650" w:type="dxa"/>
            <w:vMerge w:val="restart"/>
            <w:shd w:val="clear" w:color="auto" w:fill="BDD7EE"/>
            <w:tcMar>
              <w:top w:w="72" w:type="dxa"/>
              <w:left w:w="144" w:type="dxa"/>
              <w:bottom w:w="72" w:type="dxa"/>
              <w:right w:w="144" w:type="dxa"/>
            </w:tcMar>
            <w:hideMark/>
          </w:tcPr>
          <w:p w14:paraId="256C9582"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heme="minorEastAsia" w:hAnsi="Arial" w:cs="Arial"/>
                <w:b/>
                <w:bCs/>
                <w:color w:val="000000" w:themeColor="text1"/>
                <w:kern w:val="24"/>
                <w:sz w:val="16"/>
                <w:szCs w:val="16"/>
                <w:lang w:eastAsia="lt-LT"/>
              </w:rPr>
              <w:t>Generalinis direktorius</w:t>
            </w:r>
          </w:p>
        </w:tc>
        <w:tc>
          <w:tcPr>
            <w:tcW w:w="1701" w:type="dxa"/>
            <w:vMerge w:val="restart"/>
            <w:shd w:val="clear" w:color="auto" w:fill="BAEDF0"/>
            <w:tcMar>
              <w:top w:w="72" w:type="dxa"/>
              <w:left w:w="144" w:type="dxa"/>
              <w:bottom w:w="72" w:type="dxa"/>
              <w:right w:w="144" w:type="dxa"/>
            </w:tcMar>
            <w:hideMark/>
          </w:tcPr>
          <w:p w14:paraId="51B065E1"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ARVK</w:t>
            </w:r>
          </w:p>
        </w:tc>
        <w:tc>
          <w:tcPr>
            <w:tcW w:w="1578" w:type="dxa"/>
            <w:vMerge w:val="restart"/>
            <w:shd w:val="clear" w:color="auto" w:fill="E2C8FC"/>
            <w:tcMar>
              <w:top w:w="72" w:type="dxa"/>
              <w:left w:w="144" w:type="dxa"/>
              <w:bottom w:w="72" w:type="dxa"/>
              <w:right w:w="144" w:type="dxa"/>
            </w:tcMar>
            <w:hideMark/>
          </w:tcPr>
          <w:p w14:paraId="774157C7"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Valdyba</w:t>
            </w:r>
          </w:p>
        </w:tc>
      </w:tr>
      <w:tr w:rsidR="001125CE" w:rsidRPr="00271F9D" w14:paraId="26C9C639" w14:textId="77777777" w:rsidTr="001125CE">
        <w:trPr>
          <w:trHeight w:val="473"/>
          <w:jc w:val="center"/>
        </w:trPr>
        <w:tc>
          <w:tcPr>
            <w:tcW w:w="1413" w:type="dxa"/>
            <w:gridSpan w:val="2"/>
            <w:vMerge/>
            <w:vAlign w:val="center"/>
            <w:hideMark/>
          </w:tcPr>
          <w:p w14:paraId="1E7C2636"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701" w:type="dxa"/>
            <w:gridSpan w:val="2"/>
            <w:shd w:val="clear" w:color="auto" w:fill="E2F0D9"/>
            <w:tcMar>
              <w:top w:w="72" w:type="dxa"/>
              <w:left w:w="144" w:type="dxa"/>
              <w:bottom w:w="72" w:type="dxa"/>
              <w:right w:w="144" w:type="dxa"/>
            </w:tcMar>
            <w:hideMark/>
          </w:tcPr>
          <w:p w14:paraId="1BD2B1BF"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val="fi-FI" w:eastAsia="lt-LT"/>
              </w:rPr>
              <w:t>Rizikos savininkas</w:t>
            </w:r>
          </w:p>
        </w:tc>
        <w:tc>
          <w:tcPr>
            <w:tcW w:w="1559" w:type="dxa"/>
            <w:gridSpan w:val="2"/>
            <w:shd w:val="clear" w:color="auto" w:fill="FFFFB3"/>
            <w:tcMar>
              <w:top w:w="72" w:type="dxa"/>
              <w:left w:w="144" w:type="dxa"/>
              <w:bottom w:w="72" w:type="dxa"/>
              <w:right w:w="144" w:type="dxa"/>
            </w:tcMar>
            <w:hideMark/>
          </w:tcPr>
          <w:p w14:paraId="7CF9B4D7"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Atitikties, BDAR, korupcijos, sukčiavimo, PPTF prevencijos darbuotojai</w:t>
            </w:r>
          </w:p>
        </w:tc>
        <w:tc>
          <w:tcPr>
            <w:tcW w:w="1843" w:type="dxa"/>
            <w:gridSpan w:val="2"/>
            <w:shd w:val="clear" w:color="auto" w:fill="FFFFB3"/>
            <w:tcMar>
              <w:top w:w="72" w:type="dxa"/>
              <w:left w:w="144" w:type="dxa"/>
              <w:bottom w:w="72" w:type="dxa"/>
              <w:right w:w="144" w:type="dxa"/>
            </w:tcMar>
            <w:hideMark/>
          </w:tcPr>
          <w:p w14:paraId="129B8EC0"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Rizikų vadovas</w:t>
            </w:r>
          </w:p>
        </w:tc>
        <w:tc>
          <w:tcPr>
            <w:tcW w:w="1559" w:type="dxa"/>
            <w:shd w:val="clear" w:color="auto" w:fill="FFFFB3"/>
            <w:tcMar>
              <w:top w:w="72" w:type="dxa"/>
              <w:left w:w="144" w:type="dxa"/>
              <w:bottom w:w="72" w:type="dxa"/>
              <w:right w:w="144" w:type="dxa"/>
            </w:tcMar>
            <w:hideMark/>
          </w:tcPr>
          <w:p w14:paraId="74C00BED"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Rizikos valdymo komitetas</w:t>
            </w:r>
          </w:p>
        </w:tc>
        <w:tc>
          <w:tcPr>
            <w:tcW w:w="1043" w:type="dxa"/>
            <w:shd w:val="clear" w:color="auto" w:fill="DEEBF7"/>
            <w:tcMar>
              <w:top w:w="72" w:type="dxa"/>
              <w:left w:w="144" w:type="dxa"/>
              <w:bottom w:w="72" w:type="dxa"/>
              <w:right w:w="144" w:type="dxa"/>
            </w:tcMar>
            <w:hideMark/>
          </w:tcPr>
          <w:p w14:paraId="06967B70"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Vidaus audito skyrius</w:t>
            </w:r>
          </w:p>
        </w:tc>
        <w:tc>
          <w:tcPr>
            <w:tcW w:w="1650" w:type="dxa"/>
            <w:vMerge/>
            <w:vAlign w:val="center"/>
            <w:hideMark/>
          </w:tcPr>
          <w:p w14:paraId="560A205F"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p>
        </w:tc>
        <w:tc>
          <w:tcPr>
            <w:tcW w:w="1701" w:type="dxa"/>
            <w:vMerge/>
            <w:vAlign w:val="center"/>
            <w:hideMark/>
          </w:tcPr>
          <w:p w14:paraId="5D88CE8D"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p>
        </w:tc>
        <w:tc>
          <w:tcPr>
            <w:tcW w:w="1578" w:type="dxa"/>
            <w:vMerge/>
            <w:vAlign w:val="center"/>
            <w:hideMark/>
          </w:tcPr>
          <w:p w14:paraId="6468E298"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p>
        </w:tc>
      </w:tr>
      <w:bookmarkEnd w:id="7"/>
      <w:tr w:rsidR="001125CE" w:rsidRPr="00271F9D" w14:paraId="32568C15" w14:textId="77777777" w:rsidTr="001125CE">
        <w:trPr>
          <w:trHeight w:val="946"/>
          <w:jc w:val="center"/>
        </w:trPr>
        <w:tc>
          <w:tcPr>
            <w:tcW w:w="1413" w:type="dxa"/>
            <w:gridSpan w:val="2"/>
            <w:shd w:val="clear" w:color="auto" w:fill="auto"/>
            <w:tcMar>
              <w:top w:w="72" w:type="dxa"/>
              <w:left w:w="144" w:type="dxa"/>
              <w:bottom w:w="72" w:type="dxa"/>
              <w:right w:w="144" w:type="dxa"/>
            </w:tcMar>
            <w:hideMark/>
          </w:tcPr>
          <w:p w14:paraId="5892BF7B"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Rizikos vertinimas</w:t>
            </w:r>
          </w:p>
        </w:tc>
        <w:tc>
          <w:tcPr>
            <w:tcW w:w="1701" w:type="dxa"/>
            <w:gridSpan w:val="2"/>
            <w:shd w:val="clear" w:color="auto" w:fill="E2F0D9"/>
            <w:tcMar>
              <w:top w:w="72" w:type="dxa"/>
              <w:left w:w="144" w:type="dxa"/>
              <w:bottom w:w="72" w:type="dxa"/>
              <w:right w:w="144" w:type="dxa"/>
            </w:tcMar>
            <w:hideMark/>
          </w:tcPr>
          <w:p w14:paraId="10C8B26B"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Identifikuoja, analizuoja ir vertina</w:t>
            </w:r>
          </w:p>
        </w:tc>
        <w:tc>
          <w:tcPr>
            <w:tcW w:w="1559" w:type="dxa"/>
            <w:gridSpan w:val="2"/>
            <w:shd w:val="clear" w:color="auto" w:fill="FFFFB3"/>
            <w:tcMar>
              <w:top w:w="72" w:type="dxa"/>
              <w:left w:w="144" w:type="dxa"/>
              <w:bottom w:w="72" w:type="dxa"/>
              <w:right w:w="144" w:type="dxa"/>
            </w:tcMar>
            <w:hideMark/>
          </w:tcPr>
          <w:p w14:paraId="7E717973"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843" w:type="dxa"/>
            <w:gridSpan w:val="2"/>
            <w:shd w:val="clear" w:color="auto" w:fill="FFFFB3"/>
            <w:tcMar>
              <w:top w:w="72" w:type="dxa"/>
              <w:left w:w="144" w:type="dxa"/>
              <w:bottom w:w="72" w:type="dxa"/>
              <w:right w:w="144" w:type="dxa"/>
            </w:tcMar>
            <w:hideMark/>
          </w:tcPr>
          <w:p w14:paraId="624D3506" w14:textId="797E1F8D"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Atlieka rizikų registro konsolidavimą, vykdo rizikos valdymo koordinavimą</w:t>
            </w:r>
          </w:p>
        </w:tc>
        <w:tc>
          <w:tcPr>
            <w:tcW w:w="1559" w:type="dxa"/>
            <w:shd w:val="clear" w:color="auto" w:fill="FFFFB3"/>
            <w:tcMar>
              <w:top w:w="72" w:type="dxa"/>
              <w:left w:w="144" w:type="dxa"/>
              <w:bottom w:w="72" w:type="dxa"/>
              <w:right w:w="144" w:type="dxa"/>
            </w:tcMar>
            <w:hideMark/>
          </w:tcPr>
          <w:p w14:paraId="46F817F2"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Tvirtina rizikų registrą</w:t>
            </w:r>
          </w:p>
        </w:tc>
        <w:tc>
          <w:tcPr>
            <w:tcW w:w="1043" w:type="dxa"/>
            <w:shd w:val="clear" w:color="auto" w:fill="DEEBF7"/>
            <w:tcMar>
              <w:top w:w="72" w:type="dxa"/>
              <w:left w:w="144" w:type="dxa"/>
              <w:bottom w:w="72" w:type="dxa"/>
              <w:right w:w="144" w:type="dxa"/>
            </w:tcMar>
            <w:hideMark/>
          </w:tcPr>
          <w:p w14:paraId="36BB86EA"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650" w:type="dxa"/>
            <w:shd w:val="clear" w:color="auto" w:fill="BDD7EE"/>
            <w:tcMar>
              <w:top w:w="72" w:type="dxa"/>
              <w:left w:w="144" w:type="dxa"/>
              <w:bottom w:w="72" w:type="dxa"/>
              <w:right w:w="144" w:type="dxa"/>
            </w:tcMar>
            <w:hideMark/>
          </w:tcPr>
          <w:p w14:paraId="53339D57"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701" w:type="dxa"/>
            <w:shd w:val="clear" w:color="auto" w:fill="BAEDF0"/>
            <w:tcMar>
              <w:top w:w="72" w:type="dxa"/>
              <w:left w:w="144" w:type="dxa"/>
              <w:bottom w:w="72" w:type="dxa"/>
              <w:right w:w="144" w:type="dxa"/>
            </w:tcMar>
            <w:hideMark/>
          </w:tcPr>
          <w:p w14:paraId="7E2806BE"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578" w:type="dxa"/>
            <w:shd w:val="clear" w:color="auto" w:fill="E2C8FC"/>
            <w:tcMar>
              <w:top w:w="72" w:type="dxa"/>
              <w:left w:w="144" w:type="dxa"/>
              <w:bottom w:w="72" w:type="dxa"/>
              <w:right w:w="144" w:type="dxa"/>
            </w:tcMar>
            <w:hideMark/>
          </w:tcPr>
          <w:p w14:paraId="609795B1"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r>
      <w:tr w:rsidR="001125CE" w:rsidRPr="00271F9D" w14:paraId="635C317F" w14:textId="77777777" w:rsidTr="00C661F3">
        <w:trPr>
          <w:trHeight w:val="1257"/>
          <w:jc w:val="center"/>
        </w:trPr>
        <w:tc>
          <w:tcPr>
            <w:tcW w:w="1413" w:type="dxa"/>
            <w:gridSpan w:val="2"/>
            <w:shd w:val="clear" w:color="auto" w:fill="auto"/>
            <w:tcMar>
              <w:top w:w="72" w:type="dxa"/>
              <w:left w:w="144" w:type="dxa"/>
              <w:bottom w:w="72" w:type="dxa"/>
              <w:right w:w="144" w:type="dxa"/>
            </w:tcMar>
            <w:hideMark/>
          </w:tcPr>
          <w:p w14:paraId="3D48C0DE"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Veiksmai su rizika</w:t>
            </w:r>
          </w:p>
        </w:tc>
        <w:tc>
          <w:tcPr>
            <w:tcW w:w="1701" w:type="dxa"/>
            <w:gridSpan w:val="2"/>
            <w:shd w:val="clear" w:color="auto" w:fill="E2F0D9"/>
            <w:tcMar>
              <w:top w:w="72" w:type="dxa"/>
              <w:left w:w="144" w:type="dxa"/>
              <w:bottom w:w="72" w:type="dxa"/>
              <w:right w:w="144" w:type="dxa"/>
            </w:tcMar>
            <w:hideMark/>
          </w:tcPr>
          <w:p w14:paraId="2B1BEA2E"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Vykdo rizikos valdymą kasdienėje veikloje taikydamas procesuose numatytas kontrolės priemones; rengia rizikos valdymo planą ir užtikrina jo įgyvendinimą</w:t>
            </w:r>
          </w:p>
        </w:tc>
        <w:tc>
          <w:tcPr>
            <w:tcW w:w="1559" w:type="dxa"/>
            <w:gridSpan w:val="2"/>
            <w:shd w:val="clear" w:color="auto" w:fill="FFFFB3"/>
            <w:tcMar>
              <w:top w:w="72" w:type="dxa"/>
              <w:left w:w="144" w:type="dxa"/>
              <w:bottom w:w="72" w:type="dxa"/>
              <w:right w:w="144" w:type="dxa"/>
            </w:tcMar>
            <w:hideMark/>
          </w:tcPr>
          <w:p w14:paraId="68F39EE8"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843" w:type="dxa"/>
            <w:gridSpan w:val="2"/>
            <w:shd w:val="clear" w:color="auto" w:fill="FFFFB3"/>
            <w:tcMar>
              <w:top w:w="72" w:type="dxa"/>
              <w:left w:w="144" w:type="dxa"/>
              <w:bottom w:w="72" w:type="dxa"/>
              <w:right w:w="144" w:type="dxa"/>
            </w:tcMar>
            <w:hideMark/>
          </w:tcPr>
          <w:p w14:paraId="65240CF6"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559" w:type="dxa"/>
            <w:shd w:val="clear" w:color="auto" w:fill="FFFFB3"/>
            <w:tcMar>
              <w:top w:w="72" w:type="dxa"/>
              <w:left w:w="144" w:type="dxa"/>
              <w:bottom w:w="72" w:type="dxa"/>
              <w:right w:w="144" w:type="dxa"/>
            </w:tcMar>
            <w:hideMark/>
          </w:tcPr>
          <w:p w14:paraId="33121BAD" w14:textId="79326C66"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Priima sprendimus dėl rizikų valdymo, tvirtina rizikų valdymo planus ir tolerancijos rodiklių ribines reikšmes</w:t>
            </w:r>
          </w:p>
        </w:tc>
        <w:tc>
          <w:tcPr>
            <w:tcW w:w="1043" w:type="dxa"/>
            <w:shd w:val="clear" w:color="auto" w:fill="DEEBF7"/>
            <w:tcMar>
              <w:top w:w="72" w:type="dxa"/>
              <w:left w:w="144" w:type="dxa"/>
              <w:bottom w:w="72" w:type="dxa"/>
              <w:right w:w="144" w:type="dxa"/>
            </w:tcMar>
            <w:hideMark/>
          </w:tcPr>
          <w:p w14:paraId="58BC7B50"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650" w:type="dxa"/>
            <w:shd w:val="clear" w:color="auto" w:fill="BDD7EE"/>
            <w:tcMar>
              <w:top w:w="72" w:type="dxa"/>
              <w:left w:w="144" w:type="dxa"/>
              <w:bottom w:w="72" w:type="dxa"/>
              <w:right w:w="144" w:type="dxa"/>
            </w:tcMar>
            <w:hideMark/>
          </w:tcPr>
          <w:p w14:paraId="51D38022"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701" w:type="dxa"/>
            <w:shd w:val="clear" w:color="auto" w:fill="BAEDF0"/>
            <w:tcMar>
              <w:top w:w="72" w:type="dxa"/>
              <w:left w:w="144" w:type="dxa"/>
              <w:bottom w:w="72" w:type="dxa"/>
              <w:right w:w="144" w:type="dxa"/>
            </w:tcMar>
            <w:hideMark/>
          </w:tcPr>
          <w:p w14:paraId="39E76A8C" w14:textId="0E25D2C6"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Svarsto rizikų valdymo planus, teikia nuomonę, komentarus, siūlymus keisti ir tobulinti</w:t>
            </w:r>
          </w:p>
        </w:tc>
        <w:tc>
          <w:tcPr>
            <w:tcW w:w="1578" w:type="dxa"/>
            <w:shd w:val="clear" w:color="auto" w:fill="E2C8FC"/>
            <w:tcMar>
              <w:top w:w="72" w:type="dxa"/>
              <w:left w:w="144" w:type="dxa"/>
              <w:bottom w:w="72" w:type="dxa"/>
              <w:right w:w="144" w:type="dxa"/>
            </w:tcMar>
          </w:tcPr>
          <w:p w14:paraId="7DEF60A9" w14:textId="50FCA387" w:rsidR="001125CE" w:rsidRPr="00271F9D" w:rsidRDefault="001125CE" w:rsidP="001125CE">
            <w:pPr>
              <w:spacing w:after="0" w:line="240" w:lineRule="auto"/>
              <w:jc w:val="center"/>
              <w:rPr>
                <w:rFonts w:ascii="Arial" w:eastAsia="Times New Roman" w:hAnsi="Arial" w:cs="Arial"/>
                <w:sz w:val="16"/>
                <w:szCs w:val="16"/>
                <w:lang w:eastAsia="lt-LT"/>
              </w:rPr>
            </w:pPr>
          </w:p>
        </w:tc>
      </w:tr>
      <w:tr w:rsidR="001125CE" w:rsidRPr="00271F9D" w14:paraId="7E84BFE4" w14:textId="77777777" w:rsidTr="001125CE">
        <w:trPr>
          <w:trHeight w:val="900"/>
          <w:jc w:val="center"/>
        </w:trPr>
        <w:tc>
          <w:tcPr>
            <w:tcW w:w="1413" w:type="dxa"/>
            <w:gridSpan w:val="2"/>
            <w:shd w:val="clear" w:color="auto" w:fill="auto"/>
            <w:tcMar>
              <w:top w:w="72" w:type="dxa"/>
              <w:left w:w="144" w:type="dxa"/>
              <w:bottom w:w="72" w:type="dxa"/>
              <w:right w:w="144" w:type="dxa"/>
            </w:tcMar>
            <w:hideMark/>
          </w:tcPr>
          <w:p w14:paraId="62E3C9F3" w14:textId="77777777" w:rsidR="001125CE" w:rsidRPr="00271F9D" w:rsidRDefault="001125CE" w:rsidP="001125CE">
            <w:pPr>
              <w:spacing w:after="0" w:line="240" w:lineRule="auto"/>
              <w:jc w:val="center"/>
              <w:rPr>
                <w:rFonts w:ascii="Arial" w:eastAsia="Times New Roman" w:hAnsi="Arial" w:cs="Arial"/>
                <w:b/>
                <w:bCs/>
                <w:sz w:val="16"/>
                <w:szCs w:val="16"/>
                <w:lang w:eastAsia="lt-LT"/>
              </w:rPr>
            </w:pPr>
            <w:r w:rsidRPr="00271F9D">
              <w:rPr>
                <w:rFonts w:ascii="Arial" w:eastAsia="Times New Roman" w:hAnsi="Arial" w:cs="Arial"/>
                <w:b/>
                <w:bCs/>
                <w:color w:val="000000" w:themeColor="text1"/>
                <w:kern w:val="24"/>
                <w:sz w:val="16"/>
                <w:szCs w:val="16"/>
                <w:lang w:eastAsia="lt-LT"/>
              </w:rPr>
              <w:t>Stebėsena ir peržiūra</w:t>
            </w:r>
          </w:p>
        </w:tc>
        <w:tc>
          <w:tcPr>
            <w:tcW w:w="1701" w:type="dxa"/>
            <w:gridSpan w:val="2"/>
            <w:shd w:val="clear" w:color="auto" w:fill="E2F0D9"/>
            <w:tcMar>
              <w:top w:w="72" w:type="dxa"/>
              <w:left w:w="144" w:type="dxa"/>
              <w:bottom w:w="72" w:type="dxa"/>
              <w:right w:w="144" w:type="dxa"/>
            </w:tcMar>
            <w:hideMark/>
          </w:tcPr>
          <w:p w14:paraId="57C74FEF" w14:textId="2F53BFD3"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Teikia informaciją Rizikų vadovui apie rizikų valdymo planų įgyvendinimą</w:t>
            </w:r>
          </w:p>
        </w:tc>
        <w:tc>
          <w:tcPr>
            <w:tcW w:w="1559" w:type="dxa"/>
            <w:gridSpan w:val="2"/>
            <w:shd w:val="clear" w:color="auto" w:fill="FFFFB3"/>
            <w:tcMar>
              <w:top w:w="72" w:type="dxa"/>
              <w:left w:w="144" w:type="dxa"/>
              <w:bottom w:w="72" w:type="dxa"/>
              <w:right w:w="144" w:type="dxa"/>
            </w:tcMar>
            <w:hideMark/>
          </w:tcPr>
          <w:p w14:paraId="145269CE"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843" w:type="dxa"/>
            <w:gridSpan w:val="2"/>
            <w:shd w:val="clear" w:color="auto" w:fill="FFFFB3"/>
            <w:tcMar>
              <w:top w:w="72" w:type="dxa"/>
              <w:left w:w="144" w:type="dxa"/>
              <w:bottom w:w="72" w:type="dxa"/>
              <w:right w:w="144" w:type="dxa"/>
            </w:tcMar>
            <w:hideMark/>
          </w:tcPr>
          <w:p w14:paraId="38B1BF7B"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Rengia informaciją Rizikos valdymo komitetui, ARVK ir Valdybai</w:t>
            </w:r>
          </w:p>
        </w:tc>
        <w:tc>
          <w:tcPr>
            <w:tcW w:w="1559" w:type="dxa"/>
            <w:shd w:val="clear" w:color="auto" w:fill="FFFFB3"/>
            <w:tcMar>
              <w:top w:w="72" w:type="dxa"/>
              <w:left w:w="144" w:type="dxa"/>
              <w:bottom w:w="72" w:type="dxa"/>
              <w:right w:w="144" w:type="dxa"/>
            </w:tcMar>
            <w:hideMark/>
          </w:tcPr>
          <w:p w14:paraId="160B9BA4"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Vykdo rizikos valdymo planų įgyvendinimo ir rizikos tolerancijos rodiklių stebėseną</w:t>
            </w:r>
          </w:p>
        </w:tc>
        <w:tc>
          <w:tcPr>
            <w:tcW w:w="1043" w:type="dxa"/>
            <w:vMerge w:val="restart"/>
            <w:shd w:val="clear" w:color="auto" w:fill="DEEBF7"/>
            <w:tcMar>
              <w:top w:w="72" w:type="dxa"/>
              <w:left w:w="144" w:type="dxa"/>
              <w:bottom w:w="72" w:type="dxa"/>
              <w:right w:w="144" w:type="dxa"/>
            </w:tcMar>
            <w:hideMark/>
          </w:tcPr>
          <w:p w14:paraId="565EA0C4"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650" w:type="dxa"/>
            <w:shd w:val="clear" w:color="auto" w:fill="BDD7EE"/>
            <w:tcMar>
              <w:top w:w="72" w:type="dxa"/>
              <w:left w:w="144" w:type="dxa"/>
              <w:bottom w:w="72" w:type="dxa"/>
              <w:right w:w="144" w:type="dxa"/>
            </w:tcMar>
            <w:hideMark/>
          </w:tcPr>
          <w:p w14:paraId="074A7645"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701" w:type="dxa"/>
            <w:shd w:val="clear" w:color="auto" w:fill="BAEDF0"/>
            <w:tcMar>
              <w:top w:w="72" w:type="dxa"/>
              <w:left w:w="144" w:type="dxa"/>
              <w:bottom w:w="72" w:type="dxa"/>
              <w:right w:w="144" w:type="dxa"/>
            </w:tcMar>
            <w:hideMark/>
          </w:tcPr>
          <w:p w14:paraId="4EA7DA3B"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Stebi kasmetinį rizikos nustatymo ir vertinimo proceso vykdymą,</w:t>
            </w:r>
            <w:r w:rsidRPr="00271F9D">
              <w:rPr>
                <w:rFonts w:ascii="Arial" w:hAnsi="Arial" w:cs="Arial"/>
                <w:sz w:val="16"/>
                <w:szCs w:val="16"/>
              </w:rPr>
              <w:t xml:space="preserve"> </w:t>
            </w:r>
            <w:r w:rsidRPr="00271F9D">
              <w:rPr>
                <w:rFonts w:ascii="Arial" w:eastAsia="Times New Roman" w:hAnsi="Arial" w:cs="Arial"/>
                <w:color w:val="000000" w:themeColor="text1"/>
                <w:kern w:val="24"/>
                <w:sz w:val="16"/>
                <w:szCs w:val="16"/>
                <w:lang w:eastAsia="lt-LT"/>
              </w:rPr>
              <w:t>teikia nuomonę, komentarus, siūlymus</w:t>
            </w:r>
          </w:p>
        </w:tc>
        <w:tc>
          <w:tcPr>
            <w:tcW w:w="1578" w:type="dxa"/>
            <w:shd w:val="clear" w:color="auto" w:fill="E2C8FC"/>
            <w:tcMar>
              <w:top w:w="72" w:type="dxa"/>
              <w:left w:w="144" w:type="dxa"/>
              <w:bottom w:w="72" w:type="dxa"/>
              <w:right w:w="144" w:type="dxa"/>
            </w:tcMar>
          </w:tcPr>
          <w:p w14:paraId="186BE6DF"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Vykdo nustatytą apetitą viršijančių rizikų valdymo planų įgyvendinimo stebėseną</w:t>
            </w:r>
          </w:p>
        </w:tc>
      </w:tr>
      <w:tr w:rsidR="001125CE" w:rsidRPr="00271F9D" w14:paraId="4492523C" w14:textId="77777777" w:rsidTr="001125CE">
        <w:trPr>
          <w:trHeight w:val="420"/>
          <w:jc w:val="center"/>
        </w:trPr>
        <w:tc>
          <w:tcPr>
            <w:tcW w:w="1413" w:type="dxa"/>
            <w:gridSpan w:val="2"/>
            <w:shd w:val="clear" w:color="auto" w:fill="auto"/>
            <w:tcMar>
              <w:top w:w="72" w:type="dxa"/>
              <w:left w:w="144" w:type="dxa"/>
              <w:bottom w:w="72" w:type="dxa"/>
              <w:right w:w="144" w:type="dxa"/>
            </w:tcMar>
          </w:tcPr>
          <w:p w14:paraId="45C28796" w14:textId="77777777" w:rsidR="001125CE" w:rsidRPr="00271F9D" w:rsidRDefault="001125CE" w:rsidP="001125CE">
            <w:pPr>
              <w:spacing w:after="0" w:line="240" w:lineRule="auto"/>
              <w:jc w:val="center"/>
              <w:rPr>
                <w:rFonts w:ascii="Arial" w:eastAsia="Times New Roman" w:hAnsi="Arial" w:cs="Arial"/>
                <w:b/>
                <w:bCs/>
                <w:color w:val="000000" w:themeColor="text1"/>
                <w:kern w:val="24"/>
                <w:sz w:val="16"/>
                <w:szCs w:val="16"/>
                <w:lang w:eastAsia="lt-LT"/>
              </w:rPr>
            </w:pPr>
            <w:bookmarkStart w:id="8" w:name="_Hlk79419084"/>
            <w:r w:rsidRPr="00271F9D">
              <w:rPr>
                <w:rFonts w:ascii="Arial" w:eastAsia="Times New Roman" w:hAnsi="Arial" w:cs="Arial"/>
                <w:b/>
                <w:bCs/>
                <w:color w:val="000000" w:themeColor="text1"/>
                <w:kern w:val="24"/>
                <w:sz w:val="16"/>
                <w:szCs w:val="16"/>
                <w:lang w:eastAsia="lt-LT"/>
              </w:rPr>
              <w:t>Komunikacija ir konsultavimas</w:t>
            </w:r>
          </w:p>
        </w:tc>
        <w:tc>
          <w:tcPr>
            <w:tcW w:w="1701" w:type="dxa"/>
            <w:gridSpan w:val="2"/>
            <w:shd w:val="clear" w:color="auto" w:fill="E2F0D9"/>
            <w:tcMar>
              <w:top w:w="72" w:type="dxa"/>
              <w:left w:w="144" w:type="dxa"/>
              <w:bottom w:w="72" w:type="dxa"/>
              <w:right w:w="144" w:type="dxa"/>
            </w:tcMar>
          </w:tcPr>
          <w:p w14:paraId="52D865C6" w14:textId="77777777" w:rsidR="001125CE" w:rsidRPr="00271F9D" w:rsidRDefault="001125CE" w:rsidP="001125CE">
            <w:pPr>
              <w:spacing w:after="0" w:line="240" w:lineRule="auto"/>
              <w:jc w:val="center"/>
              <w:rPr>
                <w:rFonts w:ascii="Arial" w:eastAsia="Times New Roman" w:hAnsi="Arial" w:cs="Arial"/>
                <w:color w:val="000000" w:themeColor="text1"/>
                <w:kern w:val="24"/>
                <w:sz w:val="16"/>
                <w:szCs w:val="16"/>
                <w:lang w:eastAsia="lt-LT"/>
              </w:rPr>
            </w:pPr>
          </w:p>
        </w:tc>
        <w:tc>
          <w:tcPr>
            <w:tcW w:w="1559" w:type="dxa"/>
            <w:gridSpan w:val="2"/>
            <w:shd w:val="clear" w:color="auto" w:fill="FFFFB3"/>
            <w:tcMar>
              <w:top w:w="72" w:type="dxa"/>
              <w:left w:w="144" w:type="dxa"/>
              <w:bottom w:w="72" w:type="dxa"/>
              <w:right w:w="144" w:type="dxa"/>
            </w:tcMar>
          </w:tcPr>
          <w:p w14:paraId="52C5466E"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Konsultuoja, teikia pastabas ir rekomendacijas</w:t>
            </w:r>
          </w:p>
        </w:tc>
        <w:tc>
          <w:tcPr>
            <w:tcW w:w="1843" w:type="dxa"/>
            <w:gridSpan w:val="2"/>
            <w:shd w:val="clear" w:color="auto" w:fill="FFFFB3"/>
            <w:tcMar>
              <w:top w:w="72" w:type="dxa"/>
              <w:left w:w="144" w:type="dxa"/>
              <w:bottom w:w="72" w:type="dxa"/>
              <w:right w:w="144" w:type="dxa"/>
            </w:tcMar>
          </w:tcPr>
          <w:p w14:paraId="752BBA35" w14:textId="5174661C"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Konsultuoja, teikia pastabas,  rekomendacijas</w:t>
            </w:r>
          </w:p>
        </w:tc>
        <w:tc>
          <w:tcPr>
            <w:tcW w:w="1559" w:type="dxa"/>
            <w:shd w:val="clear" w:color="auto" w:fill="FFFFB3"/>
            <w:tcMar>
              <w:top w:w="72" w:type="dxa"/>
              <w:left w:w="144" w:type="dxa"/>
              <w:bottom w:w="72" w:type="dxa"/>
              <w:right w:w="144" w:type="dxa"/>
            </w:tcMar>
          </w:tcPr>
          <w:p w14:paraId="299371B3" w14:textId="5B8ACA1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Konsultuoja, teikia pastabas ir rekomendacijas</w:t>
            </w:r>
          </w:p>
        </w:tc>
        <w:tc>
          <w:tcPr>
            <w:tcW w:w="1043" w:type="dxa"/>
            <w:vMerge/>
            <w:shd w:val="clear" w:color="auto" w:fill="DEEBF7"/>
            <w:tcMar>
              <w:top w:w="72" w:type="dxa"/>
              <w:left w:w="144" w:type="dxa"/>
              <w:bottom w:w="72" w:type="dxa"/>
              <w:right w:w="144" w:type="dxa"/>
            </w:tcMar>
          </w:tcPr>
          <w:p w14:paraId="187DAFFB"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650" w:type="dxa"/>
            <w:shd w:val="clear" w:color="auto" w:fill="BDD7EE"/>
            <w:tcMar>
              <w:top w:w="72" w:type="dxa"/>
              <w:left w:w="144" w:type="dxa"/>
              <w:bottom w:w="72" w:type="dxa"/>
              <w:right w:w="144" w:type="dxa"/>
            </w:tcMar>
          </w:tcPr>
          <w:p w14:paraId="28D4DC65"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701" w:type="dxa"/>
            <w:shd w:val="clear" w:color="auto" w:fill="BAEDF0"/>
            <w:tcMar>
              <w:top w:w="72" w:type="dxa"/>
              <w:left w:w="144" w:type="dxa"/>
              <w:bottom w:w="72" w:type="dxa"/>
              <w:right w:w="144" w:type="dxa"/>
            </w:tcMar>
          </w:tcPr>
          <w:p w14:paraId="0917C89D" w14:textId="3582AB0F"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Konsultuoja, teikia pastabas ir rekomendacijas</w:t>
            </w:r>
          </w:p>
        </w:tc>
        <w:tc>
          <w:tcPr>
            <w:tcW w:w="1578" w:type="dxa"/>
            <w:shd w:val="clear" w:color="auto" w:fill="E2C8FC"/>
            <w:tcMar>
              <w:top w:w="72" w:type="dxa"/>
              <w:left w:w="144" w:type="dxa"/>
              <w:bottom w:w="72" w:type="dxa"/>
              <w:right w:w="144" w:type="dxa"/>
            </w:tcMar>
          </w:tcPr>
          <w:p w14:paraId="7077F22B"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r>
      <w:bookmarkEnd w:id="8"/>
      <w:tr w:rsidR="001125CE" w:rsidRPr="00271F9D" w14:paraId="4E4B8911" w14:textId="77777777" w:rsidTr="001125CE">
        <w:trPr>
          <w:trHeight w:val="414"/>
          <w:jc w:val="center"/>
        </w:trPr>
        <w:tc>
          <w:tcPr>
            <w:tcW w:w="1413" w:type="dxa"/>
            <w:gridSpan w:val="2"/>
            <w:shd w:val="clear" w:color="auto" w:fill="auto"/>
            <w:tcMar>
              <w:top w:w="72" w:type="dxa"/>
              <w:left w:w="144" w:type="dxa"/>
              <w:bottom w:w="72" w:type="dxa"/>
              <w:right w:w="144" w:type="dxa"/>
            </w:tcMar>
          </w:tcPr>
          <w:p w14:paraId="3C698FF4" w14:textId="77777777" w:rsidR="001125CE" w:rsidRPr="00271F9D" w:rsidRDefault="001125CE" w:rsidP="001125CE">
            <w:pPr>
              <w:spacing w:after="0" w:line="240" w:lineRule="auto"/>
              <w:jc w:val="center"/>
              <w:rPr>
                <w:rFonts w:ascii="Arial" w:eastAsia="Times New Roman" w:hAnsi="Arial" w:cs="Arial"/>
                <w:b/>
                <w:bCs/>
                <w:color w:val="000000" w:themeColor="text1"/>
                <w:kern w:val="24"/>
                <w:sz w:val="16"/>
                <w:szCs w:val="16"/>
                <w:lang w:eastAsia="lt-LT"/>
              </w:rPr>
            </w:pPr>
            <w:r w:rsidRPr="00271F9D">
              <w:rPr>
                <w:rFonts w:ascii="Arial" w:eastAsia="Times New Roman" w:hAnsi="Arial" w:cs="Arial"/>
                <w:b/>
                <w:bCs/>
                <w:color w:val="000000" w:themeColor="text1"/>
                <w:kern w:val="24"/>
                <w:sz w:val="16"/>
                <w:szCs w:val="16"/>
                <w:lang w:eastAsia="lt-LT"/>
              </w:rPr>
              <w:t>Fiksavimas ir ataskaitų teikimas</w:t>
            </w:r>
          </w:p>
        </w:tc>
        <w:tc>
          <w:tcPr>
            <w:tcW w:w="1701" w:type="dxa"/>
            <w:gridSpan w:val="2"/>
            <w:shd w:val="clear" w:color="auto" w:fill="E2F0D9"/>
            <w:tcMar>
              <w:top w:w="72" w:type="dxa"/>
              <w:left w:w="144" w:type="dxa"/>
              <w:bottom w:w="72" w:type="dxa"/>
              <w:right w:w="144" w:type="dxa"/>
            </w:tcMar>
          </w:tcPr>
          <w:p w14:paraId="38C45A69" w14:textId="77777777" w:rsidR="001125CE" w:rsidRPr="00271F9D" w:rsidRDefault="001125CE" w:rsidP="001125CE">
            <w:pPr>
              <w:spacing w:after="0" w:line="240" w:lineRule="auto"/>
              <w:jc w:val="center"/>
              <w:rPr>
                <w:rFonts w:ascii="Arial" w:eastAsia="Times New Roman" w:hAnsi="Arial" w:cs="Arial"/>
                <w:color w:val="000000" w:themeColor="text1"/>
                <w:kern w:val="24"/>
                <w:sz w:val="16"/>
                <w:szCs w:val="16"/>
                <w:lang w:eastAsia="lt-LT"/>
              </w:rPr>
            </w:pPr>
          </w:p>
        </w:tc>
        <w:tc>
          <w:tcPr>
            <w:tcW w:w="1559" w:type="dxa"/>
            <w:gridSpan w:val="2"/>
            <w:shd w:val="clear" w:color="auto" w:fill="FFFFB3"/>
            <w:tcMar>
              <w:top w:w="72" w:type="dxa"/>
              <w:left w:w="144" w:type="dxa"/>
              <w:bottom w:w="72" w:type="dxa"/>
              <w:right w:w="144" w:type="dxa"/>
            </w:tcMar>
          </w:tcPr>
          <w:p w14:paraId="5FCD2EA8"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843" w:type="dxa"/>
            <w:gridSpan w:val="2"/>
            <w:shd w:val="clear" w:color="auto" w:fill="FFFFB3"/>
            <w:tcMar>
              <w:top w:w="72" w:type="dxa"/>
              <w:left w:w="144" w:type="dxa"/>
              <w:bottom w:w="72" w:type="dxa"/>
              <w:right w:w="144" w:type="dxa"/>
            </w:tcMar>
          </w:tcPr>
          <w:p w14:paraId="5D83CBEE" w14:textId="6B1F8D5E"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Rengia rizikos valdymo ataskaitas valdybai, ARVK, Rizikos valdymo komitetui ir generaliniam direktoriui</w:t>
            </w:r>
          </w:p>
        </w:tc>
        <w:tc>
          <w:tcPr>
            <w:tcW w:w="1559" w:type="dxa"/>
            <w:shd w:val="clear" w:color="auto" w:fill="FFFFB3"/>
            <w:tcMar>
              <w:top w:w="72" w:type="dxa"/>
              <w:left w:w="144" w:type="dxa"/>
              <w:bottom w:w="72" w:type="dxa"/>
              <w:right w:w="144" w:type="dxa"/>
            </w:tcMar>
          </w:tcPr>
          <w:p w14:paraId="24334EB1" w14:textId="29E60332"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Svarsto ataskaitas, tvirtina metinę Bendrovės rizikos valdymo sistemos veiklos ataskaitą</w:t>
            </w:r>
          </w:p>
        </w:tc>
        <w:tc>
          <w:tcPr>
            <w:tcW w:w="1043" w:type="dxa"/>
            <w:vMerge/>
            <w:shd w:val="clear" w:color="auto" w:fill="DEEBF7"/>
            <w:tcMar>
              <w:top w:w="72" w:type="dxa"/>
              <w:left w:w="144" w:type="dxa"/>
              <w:bottom w:w="72" w:type="dxa"/>
              <w:right w:w="144" w:type="dxa"/>
            </w:tcMar>
          </w:tcPr>
          <w:p w14:paraId="5F5E9EFC" w14:textId="77777777" w:rsidR="001125CE" w:rsidRPr="00271F9D" w:rsidRDefault="001125CE" w:rsidP="001125CE">
            <w:pPr>
              <w:spacing w:after="0" w:line="240" w:lineRule="auto"/>
              <w:jc w:val="center"/>
              <w:rPr>
                <w:rFonts w:ascii="Arial" w:eastAsia="Times New Roman" w:hAnsi="Arial" w:cs="Arial"/>
                <w:sz w:val="16"/>
                <w:szCs w:val="16"/>
                <w:lang w:eastAsia="lt-LT"/>
              </w:rPr>
            </w:pPr>
          </w:p>
        </w:tc>
        <w:tc>
          <w:tcPr>
            <w:tcW w:w="1650" w:type="dxa"/>
            <w:shd w:val="clear" w:color="auto" w:fill="BDD7EE"/>
            <w:tcMar>
              <w:top w:w="72" w:type="dxa"/>
              <w:left w:w="144" w:type="dxa"/>
              <w:bottom w:w="72" w:type="dxa"/>
              <w:right w:w="144" w:type="dxa"/>
            </w:tcMar>
          </w:tcPr>
          <w:p w14:paraId="4C061CB6"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Teikia metinę rizikos valdymo sistemos veiklos ataskaitą, patvirtintą Rizikos valdymo komitete</w:t>
            </w:r>
          </w:p>
        </w:tc>
        <w:tc>
          <w:tcPr>
            <w:tcW w:w="1701" w:type="dxa"/>
            <w:shd w:val="clear" w:color="auto" w:fill="BAEDF0"/>
            <w:tcMar>
              <w:top w:w="72" w:type="dxa"/>
              <w:left w:w="144" w:type="dxa"/>
              <w:bottom w:w="72" w:type="dxa"/>
              <w:right w:w="144" w:type="dxa"/>
            </w:tcMar>
          </w:tcPr>
          <w:p w14:paraId="218852ED" w14:textId="77777777"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color w:val="000000" w:themeColor="text1"/>
                <w:kern w:val="24"/>
                <w:sz w:val="16"/>
                <w:szCs w:val="16"/>
                <w:lang w:eastAsia="lt-LT"/>
              </w:rPr>
              <w:t>Svarsto ataskaitas, teikia nuomonę, komentarus, siūlymus keisti ir tobulinti</w:t>
            </w:r>
          </w:p>
        </w:tc>
        <w:tc>
          <w:tcPr>
            <w:tcW w:w="1578" w:type="dxa"/>
            <w:shd w:val="clear" w:color="auto" w:fill="E2C8FC"/>
            <w:tcMar>
              <w:top w:w="72" w:type="dxa"/>
              <w:left w:w="144" w:type="dxa"/>
              <w:bottom w:w="72" w:type="dxa"/>
              <w:right w:w="144" w:type="dxa"/>
            </w:tcMar>
          </w:tcPr>
          <w:p w14:paraId="05E21BA7" w14:textId="59B7E505" w:rsidR="001125CE" w:rsidRPr="00271F9D" w:rsidRDefault="001125CE" w:rsidP="001125CE">
            <w:pPr>
              <w:spacing w:after="0" w:line="240" w:lineRule="auto"/>
              <w:jc w:val="center"/>
              <w:rPr>
                <w:rFonts w:ascii="Arial" w:eastAsia="Times New Roman" w:hAnsi="Arial" w:cs="Arial"/>
                <w:sz w:val="16"/>
                <w:szCs w:val="16"/>
                <w:lang w:eastAsia="lt-LT"/>
              </w:rPr>
            </w:pPr>
            <w:r w:rsidRPr="00271F9D">
              <w:rPr>
                <w:rFonts w:ascii="Arial" w:eastAsia="Times New Roman" w:hAnsi="Arial" w:cs="Arial"/>
                <w:sz w:val="16"/>
                <w:szCs w:val="16"/>
                <w:lang w:eastAsia="lt-LT"/>
              </w:rPr>
              <w:t>Svarsto ataskaitas, teikia nuomonę, komentarus, siūlymus keisti ir tobulinti</w:t>
            </w:r>
          </w:p>
        </w:tc>
      </w:tr>
    </w:tbl>
    <w:p w14:paraId="314A3D62" w14:textId="2A71E0F4" w:rsidR="0035400B" w:rsidRPr="00271F9D" w:rsidRDefault="008850CC" w:rsidP="00581138">
      <w:pPr>
        <w:pStyle w:val="ListParagraph"/>
        <w:numPr>
          <w:ilvl w:val="1"/>
          <w:numId w:val="11"/>
        </w:numPr>
        <w:tabs>
          <w:tab w:val="left" w:pos="993"/>
        </w:tabs>
        <w:rPr>
          <w:rFonts w:ascii="Arial" w:eastAsiaTheme="majorEastAsia" w:hAnsi="Arial" w:cs="Arial"/>
          <w:sz w:val="20"/>
          <w:szCs w:val="20"/>
        </w:rPr>
      </w:pPr>
      <w:r w:rsidRPr="00271F9D">
        <w:rPr>
          <w:rFonts w:ascii="Arial" w:hAnsi="Arial" w:cs="Arial"/>
          <w:sz w:val="20"/>
          <w:szCs w:val="20"/>
        </w:rPr>
        <w:t xml:space="preserve">Bendrovės darbuotojai raginami dalyvauti rizikos valdymo veikloje teikiant informaciją apie identifikuotą riziką Bendrovės vadovybei. </w:t>
      </w:r>
      <w:r w:rsidR="0035400B" w:rsidRPr="00271F9D">
        <w:rPr>
          <w:rFonts w:ascii="Arial" w:hAnsi="Arial" w:cs="Arial"/>
          <w:sz w:val="20"/>
          <w:szCs w:val="20"/>
        </w:rPr>
        <w:br w:type="page"/>
      </w:r>
    </w:p>
    <w:p w14:paraId="0E93D890" w14:textId="77777777" w:rsidR="000F4DE0" w:rsidRPr="00271F9D" w:rsidRDefault="000F4DE0" w:rsidP="006A0C5B">
      <w:pPr>
        <w:pStyle w:val="Heading1"/>
        <w:tabs>
          <w:tab w:val="left" w:pos="993"/>
        </w:tabs>
        <w:spacing w:after="240" w:line="240" w:lineRule="auto"/>
        <w:ind w:firstLine="567"/>
        <w:jc w:val="center"/>
        <w:rPr>
          <w:rFonts w:ascii="Arial" w:hAnsi="Arial" w:cs="Arial"/>
          <w:color w:val="auto"/>
          <w:sz w:val="20"/>
          <w:szCs w:val="20"/>
        </w:rPr>
        <w:sectPr w:rsidR="000F4DE0" w:rsidRPr="00271F9D" w:rsidSect="0077449D">
          <w:pgSz w:w="16838" w:h="11906" w:orient="landscape"/>
          <w:pgMar w:top="851" w:right="1134" w:bottom="1701" w:left="1134" w:header="567" w:footer="567" w:gutter="0"/>
          <w:pgNumType w:chapStyle="1"/>
          <w:cols w:space="1296"/>
          <w:docGrid w:linePitch="360"/>
        </w:sectPr>
      </w:pPr>
    </w:p>
    <w:p w14:paraId="50A03B5F" w14:textId="344A81F3" w:rsidR="003C1C93" w:rsidRPr="00271F9D" w:rsidRDefault="00997170" w:rsidP="00581138">
      <w:pPr>
        <w:pStyle w:val="Heading1"/>
        <w:numPr>
          <w:ilvl w:val="0"/>
          <w:numId w:val="11"/>
        </w:numPr>
        <w:spacing w:after="240" w:line="240" w:lineRule="auto"/>
        <w:jc w:val="both"/>
        <w:rPr>
          <w:rFonts w:ascii="Arial" w:hAnsi="Arial" w:cs="Arial"/>
          <w:b/>
          <w:bCs/>
          <w:caps/>
          <w:color w:val="auto"/>
          <w:sz w:val="20"/>
          <w:szCs w:val="20"/>
        </w:rPr>
      </w:pPr>
      <w:bookmarkStart w:id="9" w:name="_Toc58232013"/>
      <w:r w:rsidRPr="00271F9D">
        <w:rPr>
          <w:rFonts w:ascii="Arial" w:hAnsi="Arial" w:cs="Arial"/>
          <w:b/>
          <w:bCs/>
          <w:color w:val="auto"/>
          <w:sz w:val="20"/>
          <w:szCs w:val="20"/>
        </w:rPr>
        <w:lastRenderedPageBreak/>
        <w:t>BAIGIAMOSIOS NUOSTATOS</w:t>
      </w:r>
      <w:bookmarkEnd w:id="9"/>
    </w:p>
    <w:p w14:paraId="58923EA7" w14:textId="3D686EBD" w:rsidR="00D02C02" w:rsidRPr="00271F9D" w:rsidRDefault="00D02C02" w:rsidP="00491963">
      <w:pPr>
        <w:pStyle w:val="ListParagraph"/>
        <w:numPr>
          <w:ilvl w:val="1"/>
          <w:numId w:val="32"/>
        </w:numPr>
        <w:tabs>
          <w:tab w:val="left" w:pos="0"/>
          <w:tab w:val="left" w:pos="426"/>
          <w:tab w:val="left" w:pos="567"/>
          <w:tab w:val="left" w:pos="993"/>
        </w:tabs>
        <w:spacing w:after="0" w:line="240" w:lineRule="auto"/>
        <w:ind w:left="0" w:firstLine="0"/>
        <w:contextualSpacing w:val="0"/>
        <w:jc w:val="both"/>
        <w:rPr>
          <w:rFonts w:ascii="Arial" w:hAnsi="Arial" w:cs="Arial"/>
          <w:sz w:val="20"/>
          <w:szCs w:val="20"/>
        </w:rPr>
      </w:pPr>
      <w:r w:rsidRPr="00271F9D">
        <w:rPr>
          <w:rFonts w:ascii="Arial" w:hAnsi="Arial" w:cs="Arial"/>
          <w:sz w:val="20"/>
          <w:szCs w:val="20"/>
        </w:rPr>
        <w:t>Politikos nuostatų įgyvendinimas detalizuojamas Rizik</w:t>
      </w:r>
      <w:r w:rsidR="002379AB" w:rsidRPr="00271F9D">
        <w:rPr>
          <w:rFonts w:ascii="Arial" w:hAnsi="Arial" w:cs="Arial"/>
          <w:sz w:val="20"/>
          <w:szCs w:val="20"/>
        </w:rPr>
        <w:t>os</w:t>
      </w:r>
      <w:r w:rsidRPr="00271F9D">
        <w:rPr>
          <w:rFonts w:ascii="Arial" w:hAnsi="Arial" w:cs="Arial"/>
          <w:sz w:val="20"/>
          <w:szCs w:val="20"/>
        </w:rPr>
        <w:t xml:space="preserve"> valdymo tvarkoje ir kituose dokumentuose, kuriuos, įgyvendindami šios Politikos nuostatas, rengia ir tvirtina Bendrovės padaliniai savo kompetencijų ribose.</w:t>
      </w:r>
    </w:p>
    <w:p w14:paraId="5D20DF45" w14:textId="77777777" w:rsidR="00AC476B" w:rsidRPr="00271F9D" w:rsidRDefault="00AC476B" w:rsidP="00AC476B">
      <w:pPr>
        <w:pStyle w:val="ListParagraph"/>
        <w:ind w:left="360"/>
        <w:jc w:val="center"/>
        <w:rPr>
          <w:rFonts w:ascii="Arial" w:hAnsi="Arial" w:cs="Arial"/>
          <w:sz w:val="20"/>
          <w:szCs w:val="20"/>
        </w:rPr>
      </w:pPr>
      <w:bookmarkStart w:id="10" w:name="_Hlk58234389"/>
      <w:r w:rsidRPr="00271F9D">
        <w:rPr>
          <w:rFonts w:ascii="Arial" w:hAnsi="Arial" w:cs="Arial"/>
          <w:sz w:val="20"/>
          <w:szCs w:val="20"/>
        </w:rPr>
        <w:t>__________________________</w:t>
      </w:r>
      <w:bookmarkEnd w:id="10"/>
    </w:p>
    <w:p w14:paraId="23891615" w14:textId="77777777" w:rsidR="00AC476B" w:rsidRPr="00271F9D" w:rsidRDefault="00AC476B" w:rsidP="00AC476B">
      <w:pPr>
        <w:pStyle w:val="ListParagraph"/>
        <w:tabs>
          <w:tab w:val="left" w:pos="567"/>
        </w:tabs>
        <w:spacing w:after="0" w:line="240" w:lineRule="auto"/>
        <w:ind w:left="0"/>
        <w:contextualSpacing w:val="0"/>
        <w:jc w:val="both"/>
        <w:rPr>
          <w:rFonts w:ascii="Arial" w:hAnsi="Arial" w:cs="Arial"/>
          <w:sz w:val="20"/>
          <w:szCs w:val="20"/>
        </w:rPr>
      </w:pPr>
    </w:p>
    <w:sectPr w:rsidR="00AC476B" w:rsidRPr="00271F9D" w:rsidSect="0077449D">
      <w:headerReference w:type="first" r:id="rId18"/>
      <w:pgSz w:w="11906" w:h="16838"/>
      <w:pgMar w:top="1134" w:right="567" w:bottom="1134" w:left="1701" w:header="567" w:footer="567" w:gutter="0"/>
      <w:pgNumType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78BF" w14:textId="77777777" w:rsidR="00922337" w:rsidRDefault="00922337" w:rsidP="00365B9B">
      <w:pPr>
        <w:spacing w:after="0" w:line="240" w:lineRule="auto"/>
      </w:pPr>
      <w:r>
        <w:separator/>
      </w:r>
    </w:p>
  </w:endnote>
  <w:endnote w:type="continuationSeparator" w:id="0">
    <w:p w14:paraId="457EB5D6" w14:textId="77777777" w:rsidR="00922337" w:rsidRDefault="00922337" w:rsidP="00365B9B">
      <w:pPr>
        <w:spacing w:after="0" w:line="240" w:lineRule="auto"/>
      </w:pPr>
      <w:r>
        <w:continuationSeparator/>
      </w:r>
    </w:p>
  </w:endnote>
  <w:endnote w:type="continuationNotice" w:id="1">
    <w:p w14:paraId="4DAA13D5" w14:textId="77777777" w:rsidR="00922337" w:rsidRDefault="00922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anske Text">
    <w:altName w:val="Courier New"/>
    <w:charset w:val="BA"/>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14685"/>
      <w:docPartObj>
        <w:docPartGallery w:val="Page Numbers (Bottom of Page)"/>
        <w:docPartUnique/>
      </w:docPartObj>
    </w:sdtPr>
    <w:sdtEndPr>
      <w:rPr>
        <w:noProof/>
      </w:rPr>
    </w:sdtEndPr>
    <w:sdtContent>
      <w:p w14:paraId="7FD12942" w14:textId="4B13171E" w:rsidR="00C36CC0" w:rsidRDefault="00C36CC0" w:rsidP="0007463C">
        <w:pPr>
          <w:pStyle w:val="Footer"/>
          <w:jc w:val="center"/>
        </w:pPr>
        <w:r>
          <w:fldChar w:fldCharType="begin"/>
        </w:r>
        <w:r>
          <w:instrText xml:space="preserve"> PAGE   \* MERGEFORMAT </w:instrText>
        </w:r>
        <w:r>
          <w:fldChar w:fldCharType="separate"/>
        </w:r>
        <w:r w:rsidR="00DC29B6">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878226"/>
      <w:docPartObj>
        <w:docPartGallery w:val="Page Numbers (Bottom of Page)"/>
        <w:docPartUnique/>
      </w:docPartObj>
    </w:sdtPr>
    <w:sdtEndPr>
      <w:rPr>
        <w:noProof/>
      </w:rPr>
    </w:sdtEndPr>
    <w:sdtContent>
      <w:p w14:paraId="6F37C884" w14:textId="0C986649" w:rsidR="00C36CC0" w:rsidRDefault="00C36CC0">
        <w:pPr>
          <w:pStyle w:val="Footer"/>
          <w:jc w:val="center"/>
        </w:pPr>
        <w:r>
          <w:fldChar w:fldCharType="begin"/>
        </w:r>
        <w:r>
          <w:instrText xml:space="preserve"> PAGE   \* MERGEFORMAT </w:instrText>
        </w:r>
        <w:r>
          <w:fldChar w:fldCharType="separate"/>
        </w:r>
        <w:r w:rsidR="00DC29B6">
          <w:rPr>
            <w:noProof/>
          </w:rPr>
          <w:t>7</w:t>
        </w:r>
        <w:r>
          <w:rPr>
            <w:noProof/>
          </w:rPr>
          <w:fldChar w:fldCharType="end"/>
        </w:r>
      </w:p>
    </w:sdtContent>
  </w:sdt>
  <w:p w14:paraId="30A5D8ED" w14:textId="77777777" w:rsidR="00670F57" w:rsidRDefault="00670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0590" w14:textId="77777777" w:rsidR="00922337" w:rsidRDefault="00922337" w:rsidP="00365B9B">
      <w:pPr>
        <w:spacing w:after="0" w:line="240" w:lineRule="auto"/>
      </w:pPr>
      <w:r>
        <w:separator/>
      </w:r>
    </w:p>
  </w:footnote>
  <w:footnote w:type="continuationSeparator" w:id="0">
    <w:p w14:paraId="6203082F" w14:textId="77777777" w:rsidR="00922337" w:rsidRDefault="00922337" w:rsidP="00365B9B">
      <w:pPr>
        <w:spacing w:after="0" w:line="240" w:lineRule="auto"/>
      </w:pPr>
      <w:r>
        <w:continuationSeparator/>
      </w:r>
    </w:p>
  </w:footnote>
  <w:footnote w:type="continuationNotice" w:id="1">
    <w:p w14:paraId="0F3D36AA" w14:textId="77777777" w:rsidR="00922337" w:rsidRDefault="00922337">
      <w:pPr>
        <w:spacing w:after="0" w:line="240" w:lineRule="auto"/>
      </w:pPr>
    </w:p>
  </w:footnote>
  <w:footnote w:id="2">
    <w:p w14:paraId="729977C3" w14:textId="6272BA1B" w:rsidR="00762A35" w:rsidRPr="00BC52DC" w:rsidRDefault="00762A35" w:rsidP="00BC52DC">
      <w:pPr>
        <w:pStyle w:val="FootnoteText"/>
        <w:jc w:val="both"/>
        <w:rPr>
          <w:rFonts w:ascii="Arial" w:hAnsi="Arial" w:cs="Arial"/>
          <w:sz w:val="16"/>
          <w:szCs w:val="16"/>
        </w:rPr>
      </w:pPr>
      <w:r w:rsidRPr="00BC52DC">
        <w:rPr>
          <w:rStyle w:val="FootnoteReference"/>
          <w:rFonts w:ascii="Arial" w:hAnsi="Arial" w:cs="Arial"/>
          <w:sz w:val="16"/>
          <w:szCs w:val="16"/>
        </w:rPr>
        <w:footnoteRef/>
      </w:r>
      <w:r w:rsidRPr="00BC52DC">
        <w:rPr>
          <w:rFonts w:ascii="Arial" w:hAnsi="Arial" w:cs="Arial"/>
          <w:sz w:val="16"/>
          <w:szCs w:val="16"/>
        </w:rPr>
        <w:t xml:space="preserve"> Rizikos apetito skalėje nurodyti </w:t>
      </w:r>
      <w:r w:rsidR="009A3C10">
        <w:rPr>
          <w:rFonts w:ascii="Arial" w:hAnsi="Arial" w:cs="Arial"/>
          <w:sz w:val="16"/>
          <w:szCs w:val="16"/>
        </w:rPr>
        <w:t>rizikos apetito lygio įverčiai balais</w:t>
      </w:r>
      <w:r w:rsidRPr="00BC52DC">
        <w:rPr>
          <w:rFonts w:ascii="Arial" w:hAnsi="Arial" w:cs="Arial"/>
          <w:sz w:val="16"/>
          <w:szCs w:val="16"/>
        </w:rPr>
        <w:t xml:space="preserve"> atitinka Rizikos matricoje nurodyt</w:t>
      </w:r>
      <w:r w:rsidR="00F44AA9">
        <w:rPr>
          <w:rFonts w:ascii="Arial" w:hAnsi="Arial" w:cs="Arial"/>
          <w:sz w:val="16"/>
          <w:szCs w:val="16"/>
        </w:rPr>
        <w:t>us</w:t>
      </w:r>
      <w:r w:rsidR="00E72420" w:rsidRPr="00BC52DC">
        <w:rPr>
          <w:rFonts w:ascii="Arial" w:hAnsi="Arial" w:cs="Arial"/>
          <w:sz w:val="16"/>
          <w:szCs w:val="16"/>
        </w:rPr>
        <w:t xml:space="preserve"> rizikos reikšmingum</w:t>
      </w:r>
      <w:r w:rsidR="00F44AA9">
        <w:rPr>
          <w:rFonts w:ascii="Arial" w:hAnsi="Arial" w:cs="Arial"/>
          <w:sz w:val="16"/>
          <w:szCs w:val="16"/>
        </w:rPr>
        <w:t>o balus</w:t>
      </w:r>
      <w:r w:rsidR="009A3C10">
        <w:rPr>
          <w:rFonts w:ascii="Arial" w:hAnsi="Arial" w:cs="Arial"/>
          <w:sz w:val="16"/>
          <w:szCs w:val="16"/>
        </w:rPr>
        <w:t xml:space="preserve">, kurie lygūs </w:t>
      </w:r>
      <w:r w:rsidR="00D248A3">
        <w:rPr>
          <w:rFonts w:ascii="Arial" w:hAnsi="Arial" w:cs="Arial"/>
          <w:sz w:val="16"/>
          <w:szCs w:val="16"/>
        </w:rPr>
        <w:t xml:space="preserve">rizikos pasireiškimo </w:t>
      </w:r>
      <w:r w:rsidR="00E72420" w:rsidRPr="00BC52DC">
        <w:rPr>
          <w:rFonts w:ascii="Arial" w:hAnsi="Arial" w:cs="Arial"/>
          <w:sz w:val="16"/>
          <w:szCs w:val="16"/>
        </w:rPr>
        <w:t>tikimybės ir didžiausio poveikio įverčių sandauga</w:t>
      </w:r>
      <w:r w:rsidR="009A3C10">
        <w:rPr>
          <w:rFonts w:ascii="Arial" w:hAnsi="Arial" w:cs="Arial"/>
          <w:sz w:val="16"/>
          <w:szCs w:val="16"/>
        </w:rPr>
        <w:t>i</w:t>
      </w:r>
      <w:r w:rsidR="00E72420" w:rsidRPr="00BC52D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641F" w14:textId="77777777" w:rsidR="000070E5" w:rsidRDefault="00007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E689" w14:textId="6B95C89E" w:rsidR="00A77400" w:rsidRPr="002413DD" w:rsidRDefault="00A77400" w:rsidP="002413DD">
    <w:pPr>
      <w:pStyle w:val="Header"/>
      <w:tabs>
        <w:tab w:val="clear" w:pos="4320"/>
        <w:tab w:val="clear" w:pos="8640"/>
        <w:tab w:val="center" w:pos="4819"/>
        <w:tab w:val="right" w:pos="9638"/>
      </w:tabs>
      <w:ind w:left="142" w:firstLine="5103"/>
      <w:jc w:val="both"/>
      <w:rPr>
        <w:rFonts w:ascii="Arial" w:eastAsiaTheme="minorHAnsi" w:hAnsi="Arial" w:cs="Arial"/>
        <w:color w:val="000000" w:themeColor="text1"/>
        <w:sz w:val="20"/>
      </w:rPr>
    </w:pPr>
    <w:r w:rsidRPr="002413DD">
      <w:rPr>
        <w:rFonts w:ascii="Arial" w:eastAsiaTheme="minorHAnsi" w:hAnsi="Arial" w:cs="Arial"/>
        <w:color w:val="000000" w:themeColor="text1"/>
        <w:sz w:val="20"/>
      </w:rPr>
      <w:t xml:space="preserve">PATVIRTINTA </w:t>
    </w:r>
  </w:p>
  <w:p w14:paraId="1EB6F90E" w14:textId="7BB89905" w:rsidR="00A77400" w:rsidRPr="002413DD" w:rsidRDefault="00876ABB" w:rsidP="002413DD">
    <w:pPr>
      <w:pStyle w:val="Header"/>
      <w:tabs>
        <w:tab w:val="clear" w:pos="4320"/>
        <w:tab w:val="clear" w:pos="8640"/>
        <w:tab w:val="center" w:pos="4819"/>
        <w:tab w:val="right" w:pos="9638"/>
      </w:tabs>
      <w:ind w:left="142" w:firstLine="5103"/>
      <w:jc w:val="both"/>
      <w:rPr>
        <w:rFonts w:ascii="Arial" w:eastAsiaTheme="minorHAnsi" w:hAnsi="Arial" w:cs="Arial"/>
        <w:color w:val="000000" w:themeColor="text1"/>
        <w:sz w:val="20"/>
      </w:rPr>
    </w:pPr>
    <w:r w:rsidRPr="002413DD">
      <w:rPr>
        <w:rFonts w:ascii="Arial" w:eastAsiaTheme="minorHAnsi" w:hAnsi="Arial" w:cs="Arial"/>
        <w:color w:val="000000" w:themeColor="text1"/>
        <w:sz w:val="20"/>
      </w:rPr>
      <w:t>A</w:t>
    </w:r>
    <w:r w:rsidR="00A77400" w:rsidRPr="002413DD">
      <w:rPr>
        <w:rFonts w:ascii="Arial" w:eastAsiaTheme="minorHAnsi" w:hAnsi="Arial" w:cs="Arial"/>
        <w:color w:val="000000" w:themeColor="text1"/>
        <w:sz w:val="20"/>
      </w:rPr>
      <w:t>kcinės bendrovės Lietuvos pašto valdybos</w:t>
    </w:r>
  </w:p>
  <w:p w14:paraId="6C7D4083" w14:textId="443963FB" w:rsidR="00A77400" w:rsidRPr="002413DD" w:rsidRDefault="00A77400" w:rsidP="002413DD">
    <w:pPr>
      <w:pStyle w:val="Header"/>
      <w:tabs>
        <w:tab w:val="clear" w:pos="4320"/>
        <w:tab w:val="clear" w:pos="8640"/>
        <w:tab w:val="center" w:pos="4819"/>
        <w:tab w:val="right" w:pos="9638"/>
      </w:tabs>
      <w:ind w:left="142" w:firstLine="5103"/>
      <w:jc w:val="both"/>
      <w:rPr>
        <w:rFonts w:ascii="Arial" w:eastAsiaTheme="minorHAnsi" w:hAnsi="Arial" w:cs="Arial"/>
        <w:color w:val="000000" w:themeColor="text1"/>
        <w:sz w:val="20"/>
      </w:rPr>
    </w:pPr>
    <w:r w:rsidRPr="002413DD">
      <w:rPr>
        <w:rFonts w:ascii="Arial" w:eastAsiaTheme="minorHAnsi" w:hAnsi="Arial" w:cs="Arial"/>
        <w:color w:val="000000" w:themeColor="text1"/>
        <w:sz w:val="20"/>
        <w:szCs w:val="22"/>
      </w:rPr>
      <w:t>20</w:t>
    </w:r>
    <w:r w:rsidR="002759F9" w:rsidRPr="002413DD">
      <w:rPr>
        <w:rFonts w:ascii="Arial" w:eastAsiaTheme="minorHAnsi" w:hAnsi="Arial" w:cs="Arial"/>
        <w:color w:val="000000" w:themeColor="text1"/>
        <w:sz w:val="20"/>
        <w:szCs w:val="22"/>
      </w:rPr>
      <w:t>2</w:t>
    </w:r>
    <w:r w:rsidR="005E284D" w:rsidRPr="002413DD">
      <w:rPr>
        <w:rFonts w:ascii="Arial" w:eastAsiaTheme="minorHAnsi" w:hAnsi="Arial" w:cs="Arial"/>
        <w:color w:val="000000" w:themeColor="text1"/>
        <w:sz w:val="20"/>
        <w:szCs w:val="22"/>
      </w:rPr>
      <w:t>1</w:t>
    </w:r>
    <w:r w:rsidR="008839AD" w:rsidRPr="002413DD">
      <w:rPr>
        <w:rFonts w:ascii="Arial" w:eastAsiaTheme="minorHAnsi" w:hAnsi="Arial" w:cs="Arial"/>
        <w:color w:val="000000" w:themeColor="text1"/>
        <w:sz w:val="20"/>
        <w:szCs w:val="22"/>
      </w:rPr>
      <w:t xml:space="preserve"> </w:t>
    </w:r>
    <w:r w:rsidRPr="002413DD">
      <w:rPr>
        <w:rFonts w:ascii="Arial" w:eastAsiaTheme="minorHAnsi" w:hAnsi="Arial" w:cs="Arial"/>
        <w:color w:val="000000" w:themeColor="text1"/>
        <w:sz w:val="20"/>
      </w:rPr>
      <w:t>m.</w:t>
    </w:r>
    <w:r w:rsidR="008839AD" w:rsidRPr="002413DD">
      <w:rPr>
        <w:rFonts w:ascii="Arial" w:eastAsiaTheme="minorHAnsi" w:hAnsi="Arial" w:cs="Arial"/>
        <w:color w:val="000000" w:themeColor="text1"/>
        <w:sz w:val="20"/>
      </w:rPr>
      <w:t xml:space="preserve"> </w:t>
    </w:r>
    <w:r w:rsidR="008839AD" w:rsidRPr="002413DD">
      <w:rPr>
        <w:rFonts w:ascii="Arial" w:eastAsiaTheme="minorHAnsi" w:hAnsi="Arial" w:cs="Arial"/>
        <w:color w:val="000000" w:themeColor="text1"/>
        <w:sz w:val="20"/>
        <w:szCs w:val="22"/>
      </w:rPr>
      <w:t xml:space="preserve">rugpjūčio 18 </w:t>
    </w:r>
    <w:r w:rsidRPr="002413DD">
      <w:rPr>
        <w:rFonts w:ascii="Arial" w:eastAsiaTheme="minorHAnsi" w:hAnsi="Arial" w:cs="Arial"/>
        <w:color w:val="000000" w:themeColor="text1"/>
        <w:sz w:val="20"/>
      </w:rPr>
      <w:t>d.</w:t>
    </w:r>
    <w:r w:rsidR="008839AD" w:rsidRPr="002413DD">
      <w:rPr>
        <w:rFonts w:ascii="Arial" w:eastAsiaTheme="minorHAnsi" w:hAnsi="Arial" w:cs="Arial"/>
        <w:color w:val="000000" w:themeColor="text1"/>
        <w:sz w:val="20"/>
      </w:rPr>
      <w:t xml:space="preserve"> </w:t>
    </w:r>
    <w:r w:rsidR="00693F03">
      <w:rPr>
        <w:rFonts w:ascii="Arial" w:eastAsiaTheme="minorHAnsi" w:hAnsi="Arial" w:cs="Arial"/>
        <w:color w:val="000000" w:themeColor="text1"/>
        <w:sz w:val="20"/>
      </w:rPr>
      <w:t>nutarimu</w:t>
    </w:r>
    <w:r w:rsidR="008839AD" w:rsidRPr="002413DD">
      <w:rPr>
        <w:rFonts w:ascii="Arial" w:eastAsiaTheme="minorHAnsi" w:hAnsi="Arial" w:cs="Arial"/>
        <w:color w:val="000000" w:themeColor="text1"/>
        <w:sz w:val="20"/>
      </w:rPr>
      <w:t xml:space="preserve"> </w:t>
    </w:r>
    <w:r w:rsidRPr="002413DD">
      <w:rPr>
        <w:rFonts w:ascii="Arial" w:eastAsiaTheme="minorHAnsi" w:hAnsi="Arial" w:cs="Arial"/>
        <w:color w:val="000000" w:themeColor="text1"/>
        <w:sz w:val="20"/>
      </w:rPr>
      <w:t xml:space="preserve">Nr. </w:t>
    </w:r>
    <w:r w:rsidR="00876ABB" w:rsidRPr="002413DD">
      <w:rPr>
        <w:rFonts w:ascii="Arial" w:eastAsiaTheme="minorHAnsi" w:hAnsi="Arial" w:cs="Arial"/>
        <w:color w:val="000000" w:themeColor="text1"/>
        <w:sz w:val="20"/>
      </w:rPr>
      <w:t>p. [numeris]</w:t>
    </w:r>
  </w:p>
  <w:p w14:paraId="01A5FBBB" w14:textId="77777777" w:rsidR="00A77400" w:rsidRDefault="00A77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71E1" w14:textId="77777777" w:rsidR="00A640D1" w:rsidRDefault="00A64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D56"/>
    <w:multiLevelType w:val="multilevel"/>
    <w:tmpl w:val="49804A0C"/>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C76B22"/>
    <w:multiLevelType w:val="multilevel"/>
    <w:tmpl w:val="3BFA6B2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BF01965"/>
    <w:multiLevelType w:val="multilevel"/>
    <w:tmpl w:val="6E8C626E"/>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DB2093"/>
    <w:multiLevelType w:val="multilevel"/>
    <w:tmpl w:val="5AE67C0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996" w:hanging="720"/>
      </w:pPr>
      <w:rPr>
        <w:rFonts w:ascii="Times New Roman" w:hAnsi="Times New Roman" w:cs="Times New Roman" w:hint="default"/>
        <w:color w:val="auto"/>
      </w:rPr>
    </w:lvl>
    <w:lvl w:ilvl="3">
      <w:start w:val="1"/>
      <w:numFmt w:val="decimal"/>
      <w:isLgl/>
      <w:lvlText w:val="%1.%2.%3.%4."/>
      <w:lvlJc w:val="left"/>
      <w:pPr>
        <w:ind w:left="29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A2669"/>
    <w:multiLevelType w:val="hybridMultilevel"/>
    <w:tmpl w:val="557E53E2"/>
    <w:lvl w:ilvl="0" w:tplc="56BCD9DC">
      <w:start w:val="1"/>
      <w:numFmt w:val="decimal"/>
      <w:lvlText w:val="4.1.%1."/>
      <w:lvlJc w:val="left"/>
      <w:pPr>
        <w:ind w:left="2160" w:hanging="360"/>
      </w:pPr>
      <w:rPr>
        <w:rFonts w:ascii="Arial" w:hAnsi="Arial" w:cs="Arial" w:hint="default"/>
        <w:sz w:val="20"/>
        <w:szCs w:val="20"/>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5" w15:restartNumberingAfterBreak="0">
    <w:nsid w:val="107F1418"/>
    <w:multiLevelType w:val="hybridMultilevel"/>
    <w:tmpl w:val="1B2AA186"/>
    <w:lvl w:ilvl="0" w:tplc="05502EDC">
      <w:start w:val="1"/>
      <w:numFmt w:val="upperRoman"/>
      <w:lvlText w:val="%1."/>
      <w:lvlJc w:val="left"/>
      <w:pPr>
        <w:ind w:left="1440" w:hanging="10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16630CF"/>
    <w:multiLevelType w:val="hybridMultilevel"/>
    <w:tmpl w:val="D3AE44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73F0034"/>
    <w:multiLevelType w:val="hybridMultilevel"/>
    <w:tmpl w:val="42760B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B791D86"/>
    <w:multiLevelType w:val="multilevel"/>
    <w:tmpl w:val="9C5C0E1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4DD64E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252C10"/>
    <w:multiLevelType w:val="multilevel"/>
    <w:tmpl w:val="2660B68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0572C72"/>
    <w:multiLevelType w:val="multilevel"/>
    <w:tmpl w:val="ABCC557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1AC5AEE"/>
    <w:multiLevelType w:val="hybridMultilevel"/>
    <w:tmpl w:val="88467E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C41C21"/>
    <w:multiLevelType w:val="hybridMultilevel"/>
    <w:tmpl w:val="BA583C4C"/>
    <w:lvl w:ilvl="0" w:tplc="B224A718">
      <w:start w:val="1"/>
      <w:numFmt w:val="bullet"/>
      <w:lvlText w:val="•"/>
      <w:lvlJc w:val="left"/>
      <w:pPr>
        <w:tabs>
          <w:tab w:val="num" w:pos="720"/>
        </w:tabs>
        <w:ind w:left="720" w:hanging="360"/>
      </w:pPr>
      <w:rPr>
        <w:rFonts w:ascii="Arial" w:hAnsi="Arial" w:hint="default"/>
      </w:rPr>
    </w:lvl>
    <w:lvl w:ilvl="1" w:tplc="CFF8E1DE" w:tentative="1">
      <w:start w:val="1"/>
      <w:numFmt w:val="bullet"/>
      <w:lvlText w:val="•"/>
      <w:lvlJc w:val="left"/>
      <w:pPr>
        <w:tabs>
          <w:tab w:val="num" w:pos="1440"/>
        </w:tabs>
        <w:ind w:left="1440" w:hanging="360"/>
      </w:pPr>
      <w:rPr>
        <w:rFonts w:ascii="Arial" w:hAnsi="Arial" w:hint="default"/>
      </w:rPr>
    </w:lvl>
    <w:lvl w:ilvl="2" w:tplc="9154B8E4" w:tentative="1">
      <w:start w:val="1"/>
      <w:numFmt w:val="bullet"/>
      <w:lvlText w:val="•"/>
      <w:lvlJc w:val="left"/>
      <w:pPr>
        <w:tabs>
          <w:tab w:val="num" w:pos="2160"/>
        </w:tabs>
        <w:ind w:left="2160" w:hanging="360"/>
      </w:pPr>
      <w:rPr>
        <w:rFonts w:ascii="Arial" w:hAnsi="Arial" w:hint="default"/>
      </w:rPr>
    </w:lvl>
    <w:lvl w:ilvl="3" w:tplc="B00A2046" w:tentative="1">
      <w:start w:val="1"/>
      <w:numFmt w:val="bullet"/>
      <w:lvlText w:val="•"/>
      <w:lvlJc w:val="left"/>
      <w:pPr>
        <w:tabs>
          <w:tab w:val="num" w:pos="2880"/>
        </w:tabs>
        <w:ind w:left="2880" w:hanging="360"/>
      </w:pPr>
      <w:rPr>
        <w:rFonts w:ascii="Arial" w:hAnsi="Arial" w:hint="default"/>
      </w:rPr>
    </w:lvl>
    <w:lvl w:ilvl="4" w:tplc="7690E8B6" w:tentative="1">
      <w:start w:val="1"/>
      <w:numFmt w:val="bullet"/>
      <w:lvlText w:val="•"/>
      <w:lvlJc w:val="left"/>
      <w:pPr>
        <w:tabs>
          <w:tab w:val="num" w:pos="3600"/>
        </w:tabs>
        <w:ind w:left="3600" w:hanging="360"/>
      </w:pPr>
      <w:rPr>
        <w:rFonts w:ascii="Arial" w:hAnsi="Arial" w:hint="default"/>
      </w:rPr>
    </w:lvl>
    <w:lvl w:ilvl="5" w:tplc="44FA9C5E" w:tentative="1">
      <w:start w:val="1"/>
      <w:numFmt w:val="bullet"/>
      <w:lvlText w:val="•"/>
      <w:lvlJc w:val="left"/>
      <w:pPr>
        <w:tabs>
          <w:tab w:val="num" w:pos="4320"/>
        </w:tabs>
        <w:ind w:left="4320" w:hanging="360"/>
      </w:pPr>
      <w:rPr>
        <w:rFonts w:ascii="Arial" w:hAnsi="Arial" w:hint="default"/>
      </w:rPr>
    </w:lvl>
    <w:lvl w:ilvl="6" w:tplc="33801FE4" w:tentative="1">
      <w:start w:val="1"/>
      <w:numFmt w:val="bullet"/>
      <w:lvlText w:val="•"/>
      <w:lvlJc w:val="left"/>
      <w:pPr>
        <w:tabs>
          <w:tab w:val="num" w:pos="5040"/>
        </w:tabs>
        <w:ind w:left="5040" w:hanging="360"/>
      </w:pPr>
      <w:rPr>
        <w:rFonts w:ascii="Arial" w:hAnsi="Arial" w:hint="default"/>
      </w:rPr>
    </w:lvl>
    <w:lvl w:ilvl="7" w:tplc="D2F49490" w:tentative="1">
      <w:start w:val="1"/>
      <w:numFmt w:val="bullet"/>
      <w:lvlText w:val="•"/>
      <w:lvlJc w:val="left"/>
      <w:pPr>
        <w:tabs>
          <w:tab w:val="num" w:pos="5760"/>
        </w:tabs>
        <w:ind w:left="5760" w:hanging="360"/>
      </w:pPr>
      <w:rPr>
        <w:rFonts w:ascii="Arial" w:hAnsi="Arial" w:hint="default"/>
      </w:rPr>
    </w:lvl>
    <w:lvl w:ilvl="8" w:tplc="C874BA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240C4C"/>
    <w:multiLevelType w:val="hybridMultilevel"/>
    <w:tmpl w:val="009CAD74"/>
    <w:lvl w:ilvl="0" w:tplc="B3FA0422">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6813451"/>
    <w:multiLevelType w:val="multilevel"/>
    <w:tmpl w:val="67E4008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783226"/>
    <w:multiLevelType w:val="hybridMultilevel"/>
    <w:tmpl w:val="3BF8233A"/>
    <w:lvl w:ilvl="0" w:tplc="0D90C816">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F5359D"/>
    <w:multiLevelType w:val="multilevel"/>
    <w:tmpl w:val="098A4596"/>
    <w:lvl w:ilvl="0">
      <w:start w:val="2"/>
      <w:numFmt w:val="decimal"/>
      <w:lvlText w:val="%1."/>
      <w:lvlJc w:val="left"/>
      <w:pPr>
        <w:ind w:left="360" w:hanging="360"/>
      </w:pPr>
      <w:rPr>
        <w:rFonts w:eastAsiaTheme="minorHAnsi" w:hint="default"/>
      </w:rPr>
    </w:lvl>
    <w:lvl w:ilvl="1">
      <w:start w:val="1"/>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18" w15:restartNumberingAfterBreak="0">
    <w:nsid w:val="405A7EF9"/>
    <w:multiLevelType w:val="hybridMultilevel"/>
    <w:tmpl w:val="D136B0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6C71342"/>
    <w:multiLevelType w:val="hybridMultilevel"/>
    <w:tmpl w:val="15C689B4"/>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2AF2FE6C">
      <w:start w:val="1"/>
      <w:numFmt w:val="upperRoman"/>
      <w:lvlText w:val="%3."/>
      <w:lvlJc w:val="left"/>
      <w:pPr>
        <w:ind w:left="3551" w:hanging="720"/>
      </w:pPr>
      <w:rPr>
        <w:rFonts w:hint="default"/>
      </w:rPr>
    </w:lvl>
    <w:lvl w:ilvl="3" w:tplc="368292AA">
      <w:start w:val="2"/>
      <w:numFmt w:val="decimal"/>
      <w:lvlText w:val="%4"/>
      <w:lvlJc w:val="left"/>
      <w:pPr>
        <w:ind w:left="3731" w:hanging="360"/>
      </w:pPr>
      <w:rPr>
        <w:rFonts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47EF534B"/>
    <w:multiLevelType w:val="hybridMultilevel"/>
    <w:tmpl w:val="2A1864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EA71CEB"/>
    <w:multiLevelType w:val="hybridMultilevel"/>
    <w:tmpl w:val="389064D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4E36199"/>
    <w:multiLevelType w:val="hybridMultilevel"/>
    <w:tmpl w:val="638E99C6"/>
    <w:lvl w:ilvl="0" w:tplc="21DC7EC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64F4DF0"/>
    <w:multiLevelType w:val="multilevel"/>
    <w:tmpl w:val="5A34FD9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2C67BB"/>
    <w:multiLevelType w:val="multilevel"/>
    <w:tmpl w:val="9C88B5D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A872A86"/>
    <w:multiLevelType w:val="multilevel"/>
    <w:tmpl w:val="35FEA0F6"/>
    <w:lvl w:ilvl="0">
      <w:start w:val="1"/>
      <w:numFmt w:val="decimal"/>
      <w:lvlText w:val="%1."/>
      <w:lvlJc w:val="left"/>
      <w:pPr>
        <w:ind w:left="360" w:hanging="360"/>
      </w:pPr>
    </w:lvl>
    <w:lvl w:ilvl="1">
      <w:start w:val="1"/>
      <w:numFmt w:val="decimal"/>
      <w:lvlText w:val="5.1.%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E143A0"/>
    <w:multiLevelType w:val="hybridMultilevel"/>
    <w:tmpl w:val="1F46220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1240017"/>
    <w:multiLevelType w:val="multilevel"/>
    <w:tmpl w:val="D030638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996" w:hanging="720"/>
      </w:pPr>
      <w:rPr>
        <w:rFonts w:ascii="Tahoma" w:hAnsi="Tahoma" w:cs="Tahoma" w:hint="default"/>
        <w:color w:val="auto"/>
      </w:rPr>
    </w:lvl>
    <w:lvl w:ilvl="3">
      <w:start w:val="1"/>
      <w:numFmt w:val="decimal"/>
      <w:isLgl/>
      <w:lvlText w:val="%1.%2.%3.%4."/>
      <w:lvlJc w:val="left"/>
      <w:pPr>
        <w:ind w:left="29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868182D"/>
    <w:multiLevelType w:val="multilevel"/>
    <w:tmpl w:val="7CC411AA"/>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A6C771B"/>
    <w:multiLevelType w:val="multilevel"/>
    <w:tmpl w:val="245099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1A1F22"/>
    <w:multiLevelType w:val="multilevel"/>
    <w:tmpl w:val="49162B5E"/>
    <w:lvl w:ilvl="0">
      <w:start w:val="2"/>
      <w:numFmt w:val="decimal"/>
      <w:lvlText w:val="%1."/>
      <w:lvlJc w:val="left"/>
      <w:pPr>
        <w:ind w:left="495" w:hanging="495"/>
      </w:pPr>
      <w:rPr>
        <w:rFonts w:eastAsia="Times New Roman" w:hint="default"/>
      </w:rPr>
    </w:lvl>
    <w:lvl w:ilvl="1">
      <w:start w:val="3"/>
      <w:numFmt w:val="decimal"/>
      <w:lvlText w:val="%1.%2."/>
      <w:lvlJc w:val="left"/>
      <w:pPr>
        <w:ind w:left="958" w:hanging="495"/>
      </w:pPr>
      <w:rPr>
        <w:rFonts w:eastAsia="Times New Roman" w:hint="default"/>
      </w:rPr>
    </w:lvl>
    <w:lvl w:ilvl="2">
      <w:start w:val="2"/>
      <w:numFmt w:val="decimal"/>
      <w:lvlText w:val="%1.%2.%3."/>
      <w:lvlJc w:val="left"/>
      <w:pPr>
        <w:ind w:left="1646" w:hanging="720"/>
      </w:pPr>
      <w:rPr>
        <w:rFonts w:eastAsia="Times New Roman" w:hint="default"/>
      </w:rPr>
    </w:lvl>
    <w:lvl w:ilvl="3">
      <w:start w:val="1"/>
      <w:numFmt w:val="decimal"/>
      <w:lvlText w:val="%1.%2.%3.%4."/>
      <w:lvlJc w:val="left"/>
      <w:pPr>
        <w:ind w:left="2109" w:hanging="720"/>
      </w:pPr>
      <w:rPr>
        <w:rFonts w:eastAsia="Times New Roman" w:hint="default"/>
      </w:rPr>
    </w:lvl>
    <w:lvl w:ilvl="4">
      <w:start w:val="1"/>
      <w:numFmt w:val="decimal"/>
      <w:lvlText w:val="%1.%2.%3.%4.%5."/>
      <w:lvlJc w:val="left"/>
      <w:pPr>
        <w:ind w:left="2932" w:hanging="1080"/>
      </w:pPr>
      <w:rPr>
        <w:rFonts w:eastAsia="Times New Roman" w:hint="default"/>
      </w:rPr>
    </w:lvl>
    <w:lvl w:ilvl="5">
      <w:start w:val="1"/>
      <w:numFmt w:val="decimal"/>
      <w:lvlText w:val="%1.%2.%3.%4.%5.%6."/>
      <w:lvlJc w:val="left"/>
      <w:pPr>
        <w:ind w:left="3395" w:hanging="1080"/>
      </w:pPr>
      <w:rPr>
        <w:rFonts w:eastAsia="Times New Roman" w:hint="default"/>
      </w:rPr>
    </w:lvl>
    <w:lvl w:ilvl="6">
      <w:start w:val="1"/>
      <w:numFmt w:val="decimal"/>
      <w:lvlText w:val="%1.%2.%3.%4.%5.%6.%7."/>
      <w:lvlJc w:val="left"/>
      <w:pPr>
        <w:ind w:left="4218" w:hanging="1440"/>
      </w:pPr>
      <w:rPr>
        <w:rFonts w:eastAsia="Times New Roman" w:hint="default"/>
      </w:rPr>
    </w:lvl>
    <w:lvl w:ilvl="7">
      <w:start w:val="1"/>
      <w:numFmt w:val="decimal"/>
      <w:lvlText w:val="%1.%2.%3.%4.%5.%6.%7.%8."/>
      <w:lvlJc w:val="left"/>
      <w:pPr>
        <w:ind w:left="4681" w:hanging="1440"/>
      </w:pPr>
      <w:rPr>
        <w:rFonts w:eastAsia="Times New Roman" w:hint="default"/>
      </w:rPr>
    </w:lvl>
    <w:lvl w:ilvl="8">
      <w:start w:val="1"/>
      <w:numFmt w:val="decimal"/>
      <w:lvlText w:val="%1.%2.%3.%4.%5.%6.%7.%8.%9."/>
      <w:lvlJc w:val="left"/>
      <w:pPr>
        <w:ind w:left="5504" w:hanging="1800"/>
      </w:pPr>
      <w:rPr>
        <w:rFonts w:eastAsia="Times New Roman" w:hint="default"/>
      </w:rPr>
    </w:lvl>
  </w:abstractNum>
  <w:abstractNum w:abstractNumId="31" w15:restartNumberingAfterBreak="0">
    <w:nsid w:val="6C7756A5"/>
    <w:multiLevelType w:val="hybridMultilevel"/>
    <w:tmpl w:val="93D009C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15:restartNumberingAfterBreak="0">
    <w:nsid w:val="6FA30923"/>
    <w:multiLevelType w:val="multilevel"/>
    <w:tmpl w:val="4596DA0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B5C4DC3"/>
    <w:multiLevelType w:val="multilevel"/>
    <w:tmpl w:val="D52203EE"/>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F53645F"/>
    <w:multiLevelType w:val="multilevel"/>
    <w:tmpl w:val="5AE67C0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996" w:hanging="720"/>
      </w:pPr>
      <w:rPr>
        <w:rFonts w:ascii="Times New Roman" w:hAnsi="Times New Roman" w:cs="Times New Roman" w:hint="default"/>
        <w:color w:val="auto"/>
      </w:rPr>
    </w:lvl>
    <w:lvl w:ilvl="3">
      <w:start w:val="1"/>
      <w:numFmt w:val="decimal"/>
      <w:isLgl/>
      <w:lvlText w:val="%1.%2.%3.%4."/>
      <w:lvlJc w:val="left"/>
      <w:pPr>
        <w:ind w:left="29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5"/>
  </w:num>
  <w:num w:numId="3">
    <w:abstractNumId w:val="19"/>
  </w:num>
  <w:num w:numId="4">
    <w:abstractNumId w:val="10"/>
  </w:num>
  <w:num w:numId="5">
    <w:abstractNumId w:val="1"/>
  </w:num>
  <w:num w:numId="6">
    <w:abstractNumId w:val="17"/>
  </w:num>
  <w:num w:numId="7">
    <w:abstractNumId w:val="30"/>
  </w:num>
  <w:num w:numId="8">
    <w:abstractNumId w:val="11"/>
  </w:num>
  <w:num w:numId="9">
    <w:abstractNumId w:val="32"/>
  </w:num>
  <w:num w:numId="10">
    <w:abstractNumId w:val="24"/>
  </w:num>
  <w:num w:numId="11">
    <w:abstractNumId w:val="33"/>
  </w:num>
  <w:num w:numId="12">
    <w:abstractNumId w:val="8"/>
  </w:num>
  <w:num w:numId="13">
    <w:abstractNumId w:val="27"/>
  </w:num>
  <w:num w:numId="14">
    <w:abstractNumId w:val="16"/>
  </w:num>
  <w:num w:numId="15">
    <w:abstractNumId w:val="2"/>
  </w:num>
  <w:num w:numId="16">
    <w:abstractNumId w:val="21"/>
  </w:num>
  <w:num w:numId="17">
    <w:abstractNumId w:val="15"/>
  </w:num>
  <w:num w:numId="18">
    <w:abstractNumId w:val="34"/>
  </w:num>
  <w:num w:numId="19">
    <w:abstractNumId w:val="18"/>
  </w:num>
  <w:num w:numId="20">
    <w:abstractNumId w:val="12"/>
  </w:num>
  <w:num w:numId="21">
    <w:abstractNumId w:val="26"/>
  </w:num>
  <w:num w:numId="22">
    <w:abstractNumId w:val="5"/>
  </w:num>
  <w:num w:numId="23">
    <w:abstractNumId w:val="3"/>
  </w:num>
  <w:num w:numId="24">
    <w:abstractNumId w:val="7"/>
  </w:num>
  <w:num w:numId="25">
    <w:abstractNumId w:val="13"/>
  </w:num>
  <w:num w:numId="26">
    <w:abstractNumId w:val="14"/>
  </w:num>
  <w:num w:numId="27">
    <w:abstractNumId w:val="0"/>
  </w:num>
  <w:num w:numId="28">
    <w:abstractNumId w:val="20"/>
  </w:num>
  <w:num w:numId="29">
    <w:abstractNumId w:val="6"/>
  </w:num>
  <w:num w:numId="30">
    <w:abstractNumId w:val="28"/>
  </w:num>
  <w:num w:numId="31">
    <w:abstractNumId w:val="4"/>
  </w:num>
  <w:num w:numId="32">
    <w:abstractNumId w:val="29"/>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59"/>
    <w:rsid w:val="00002410"/>
    <w:rsid w:val="00002B05"/>
    <w:rsid w:val="00006385"/>
    <w:rsid w:val="000070E5"/>
    <w:rsid w:val="00007B04"/>
    <w:rsid w:val="00007C18"/>
    <w:rsid w:val="00012472"/>
    <w:rsid w:val="000166C6"/>
    <w:rsid w:val="0002184F"/>
    <w:rsid w:val="00021C8B"/>
    <w:rsid w:val="00022BF5"/>
    <w:rsid w:val="000275F1"/>
    <w:rsid w:val="00036ED8"/>
    <w:rsid w:val="000404AE"/>
    <w:rsid w:val="00042EFA"/>
    <w:rsid w:val="00047262"/>
    <w:rsid w:val="000479AE"/>
    <w:rsid w:val="00050F10"/>
    <w:rsid w:val="000537EC"/>
    <w:rsid w:val="00062772"/>
    <w:rsid w:val="00071C1E"/>
    <w:rsid w:val="0007463C"/>
    <w:rsid w:val="00076126"/>
    <w:rsid w:val="00081891"/>
    <w:rsid w:val="00081AE2"/>
    <w:rsid w:val="00082166"/>
    <w:rsid w:val="00082E31"/>
    <w:rsid w:val="000835B4"/>
    <w:rsid w:val="00083FB4"/>
    <w:rsid w:val="000852B1"/>
    <w:rsid w:val="00085828"/>
    <w:rsid w:val="00086B14"/>
    <w:rsid w:val="00087547"/>
    <w:rsid w:val="00087B71"/>
    <w:rsid w:val="000921AC"/>
    <w:rsid w:val="000953C0"/>
    <w:rsid w:val="000A3DC0"/>
    <w:rsid w:val="000A69FE"/>
    <w:rsid w:val="000B0873"/>
    <w:rsid w:val="000C35F2"/>
    <w:rsid w:val="000D3878"/>
    <w:rsid w:val="000D6D2E"/>
    <w:rsid w:val="000E2ABD"/>
    <w:rsid w:val="000E3551"/>
    <w:rsid w:val="000F0357"/>
    <w:rsid w:val="000F1E2B"/>
    <w:rsid w:val="000F4255"/>
    <w:rsid w:val="000F4DE0"/>
    <w:rsid w:val="00100F90"/>
    <w:rsid w:val="001033FB"/>
    <w:rsid w:val="00104B6D"/>
    <w:rsid w:val="00106166"/>
    <w:rsid w:val="00110673"/>
    <w:rsid w:val="001125CE"/>
    <w:rsid w:val="00115518"/>
    <w:rsid w:val="001167FA"/>
    <w:rsid w:val="001207C0"/>
    <w:rsid w:val="0012450F"/>
    <w:rsid w:val="001247CE"/>
    <w:rsid w:val="00124891"/>
    <w:rsid w:val="00124AD9"/>
    <w:rsid w:val="00127593"/>
    <w:rsid w:val="0013595A"/>
    <w:rsid w:val="00136CA3"/>
    <w:rsid w:val="0014154E"/>
    <w:rsid w:val="00141E21"/>
    <w:rsid w:val="0014247A"/>
    <w:rsid w:val="00150044"/>
    <w:rsid w:val="0015395D"/>
    <w:rsid w:val="00153D2C"/>
    <w:rsid w:val="00154265"/>
    <w:rsid w:val="00154A92"/>
    <w:rsid w:val="0015612A"/>
    <w:rsid w:val="0015681B"/>
    <w:rsid w:val="001647D9"/>
    <w:rsid w:val="0016518C"/>
    <w:rsid w:val="001651DD"/>
    <w:rsid w:val="001704C5"/>
    <w:rsid w:val="001738A2"/>
    <w:rsid w:val="00174C29"/>
    <w:rsid w:val="001829C2"/>
    <w:rsid w:val="00183E27"/>
    <w:rsid w:val="001848D4"/>
    <w:rsid w:val="00187B5B"/>
    <w:rsid w:val="001922E3"/>
    <w:rsid w:val="00193D2D"/>
    <w:rsid w:val="00195E8A"/>
    <w:rsid w:val="0019642F"/>
    <w:rsid w:val="001970D8"/>
    <w:rsid w:val="001A1D0D"/>
    <w:rsid w:val="001A2C45"/>
    <w:rsid w:val="001A7C13"/>
    <w:rsid w:val="001B4738"/>
    <w:rsid w:val="001B5633"/>
    <w:rsid w:val="001B60FD"/>
    <w:rsid w:val="001B702D"/>
    <w:rsid w:val="001C423F"/>
    <w:rsid w:val="001C5410"/>
    <w:rsid w:val="001C7917"/>
    <w:rsid w:val="001D0963"/>
    <w:rsid w:val="001D18B5"/>
    <w:rsid w:val="001D1A4B"/>
    <w:rsid w:val="001D1F06"/>
    <w:rsid w:val="001D23B6"/>
    <w:rsid w:val="001D4B81"/>
    <w:rsid w:val="001D4CF9"/>
    <w:rsid w:val="001E03C6"/>
    <w:rsid w:val="001E26CD"/>
    <w:rsid w:val="001E47C2"/>
    <w:rsid w:val="001E495A"/>
    <w:rsid w:val="001E746E"/>
    <w:rsid w:val="001E7A81"/>
    <w:rsid w:val="001F0191"/>
    <w:rsid w:val="001F1172"/>
    <w:rsid w:val="001F2AD6"/>
    <w:rsid w:val="001F41DA"/>
    <w:rsid w:val="001F50BE"/>
    <w:rsid w:val="001F67D8"/>
    <w:rsid w:val="001F6FBA"/>
    <w:rsid w:val="001F7F74"/>
    <w:rsid w:val="00203C59"/>
    <w:rsid w:val="002124E8"/>
    <w:rsid w:val="00215E7B"/>
    <w:rsid w:val="00217203"/>
    <w:rsid w:val="00220E44"/>
    <w:rsid w:val="002213B1"/>
    <w:rsid w:val="00222633"/>
    <w:rsid w:val="002278E2"/>
    <w:rsid w:val="002302C7"/>
    <w:rsid w:val="002340BE"/>
    <w:rsid w:val="002379AB"/>
    <w:rsid w:val="002413DD"/>
    <w:rsid w:val="002454BB"/>
    <w:rsid w:val="0025101F"/>
    <w:rsid w:val="00252B83"/>
    <w:rsid w:val="00257C08"/>
    <w:rsid w:val="00262967"/>
    <w:rsid w:val="00271F9D"/>
    <w:rsid w:val="00274DB7"/>
    <w:rsid w:val="00275210"/>
    <w:rsid w:val="002759F9"/>
    <w:rsid w:val="0027740B"/>
    <w:rsid w:val="00277C3D"/>
    <w:rsid w:val="002813FB"/>
    <w:rsid w:val="00285728"/>
    <w:rsid w:val="002918CC"/>
    <w:rsid w:val="00291C13"/>
    <w:rsid w:val="002941CF"/>
    <w:rsid w:val="002943DF"/>
    <w:rsid w:val="0029571D"/>
    <w:rsid w:val="00295C35"/>
    <w:rsid w:val="00295F33"/>
    <w:rsid w:val="002A0DAE"/>
    <w:rsid w:val="002A481D"/>
    <w:rsid w:val="002A5C8F"/>
    <w:rsid w:val="002A5F92"/>
    <w:rsid w:val="002A612C"/>
    <w:rsid w:val="002A6853"/>
    <w:rsid w:val="002A702A"/>
    <w:rsid w:val="002B2C57"/>
    <w:rsid w:val="002B322D"/>
    <w:rsid w:val="002B3803"/>
    <w:rsid w:val="002B4515"/>
    <w:rsid w:val="002B67ED"/>
    <w:rsid w:val="002B77ED"/>
    <w:rsid w:val="002C07D0"/>
    <w:rsid w:val="002D1B7D"/>
    <w:rsid w:val="002D3596"/>
    <w:rsid w:val="002D4A1C"/>
    <w:rsid w:val="002E0AB9"/>
    <w:rsid w:val="002E133F"/>
    <w:rsid w:val="002E1814"/>
    <w:rsid w:val="002E5FF2"/>
    <w:rsid w:val="002F2400"/>
    <w:rsid w:val="002F3A12"/>
    <w:rsid w:val="002F5836"/>
    <w:rsid w:val="002F69AE"/>
    <w:rsid w:val="002F77B4"/>
    <w:rsid w:val="00301AE2"/>
    <w:rsid w:val="00303B59"/>
    <w:rsid w:val="00304D22"/>
    <w:rsid w:val="00305E91"/>
    <w:rsid w:val="00307DB0"/>
    <w:rsid w:val="00310416"/>
    <w:rsid w:val="00312E7D"/>
    <w:rsid w:val="00313BE1"/>
    <w:rsid w:val="00313C36"/>
    <w:rsid w:val="0031460A"/>
    <w:rsid w:val="003176EB"/>
    <w:rsid w:val="00320644"/>
    <w:rsid w:val="00321BEE"/>
    <w:rsid w:val="00322FA3"/>
    <w:rsid w:val="0032716D"/>
    <w:rsid w:val="00331539"/>
    <w:rsid w:val="00332608"/>
    <w:rsid w:val="00332B6E"/>
    <w:rsid w:val="00333501"/>
    <w:rsid w:val="00333ECB"/>
    <w:rsid w:val="00334219"/>
    <w:rsid w:val="0033479C"/>
    <w:rsid w:val="00340357"/>
    <w:rsid w:val="00340B2E"/>
    <w:rsid w:val="00343A6B"/>
    <w:rsid w:val="00344FB7"/>
    <w:rsid w:val="00345B9E"/>
    <w:rsid w:val="00346BCC"/>
    <w:rsid w:val="0034727A"/>
    <w:rsid w:val="003474C3"/>
    <w:rsid w:val="00350F2D"/>
    <w:rsid w:val="00353A8A"/>
    <w:rsid w:val="0035400B"/>
    <w:rsid w:val="00356A27"/>
    <w:rsid w:val="00360C4D"/>
    <w:rsid w:val="00361837"/>
    <w:rsid w:val="00364416"/>
    <w:rsid w:val="00365B30"/>
    <w:rsid w:val="00365B9A"/>
    <w:rsid w:val="00365B9B"/>
    <w:rsid w:val="0037206E"/>
    <w:rsid w:val="0037274C"/>
    <w:rsid w:val="00372E0A"/>
    <w:rsid w:val="00377FB0"/>
    <w:rsid w:val="00381D8A"/>
    <w:rsid w:val="0038304F"/>
    <w:rsid w:val="00384542"/>
    <w:rsid w:val="0038527D"/>
    <w:rsid w:val="003861DB"/>
    <w:rsid w:val="003878B2"/>
    <w:rsid w:val="00392C84"/>
    <w:rsid w:val="00393BD0"/>
    <w:rsid w:val="003949B1"/>
    <w:rsid w:val="00395F2D"/>
    <w:rsid w:val="003A6148"/>
    <w:rsid w:val="003B0E01"/>
    <w:rsid w:val="003B150B"/>
    <w:rsid w:val="003B1D04"/>
    <w:rsid w:val="003B29C4"/>
    <w:rsid w:val="003B7E53"/>
    <w:rsid w:val="003C1C93"/>
    <w:rsid w:val="003C5F2A"/>
    <w:rsid w:val="003C7188"/>
    <w:rsid w:val="003D57CE"/>
    <w:rsid w:val="003D7250"/>
    <w:rsid w:val="003E1791"/>
    <w:rsid w:val="003E3520"/>
    <w:rsid w:val="003E43CE"/>
    <w:rsid w:val="003E509D"/>
    <w:rsid w:val="003F173F"/>
    <w:rsid w:val="003F1BAF"/>
    <w:rsid w:val="003F1BB5"/>
    <w:rsid w:val="003F2B2D"/>
    <w:rsid w:val="003F3A1B"/>
    <w:rsid w:val="003F3D1C"/>
    <w:rsid w:val="003F6E27"/>
    <w:rsid w:val="00400627"/>
    <w:rsid w:val="00401B15"/>
    <w:rsid w:val="00405A27"/>
    <w:rsid w:val="0041213B"/>
    <w:rsid w:val="004131B8"/>
    <w:rsid w:val="00414E48"/>
    <w:rsid w:val="004152C8"/>
    <w:rsid w:val="00415CE6"/>
    <w:rsid w:val="004177C8"/>
    <w:rsid w:val="00420A75"/>
    <w:rsid w:val="00421D97"/>
    <w:rsid w:val="00425275"/>
    <w:rsid w:val="004260BB"/>
    <w:rsid w:val="00430DEB"/>
    <w:rsid w:val="0043349E"/>
    <w:rsid w:val="004354C8"/>
    <w:rsid w:val="00441723"/>
    <w:rsid w:val="0045053B"/>
    <w:rsid w:val="00453811"/>
    <w:rsid w:val="004546E7"/>
    <w:rsid w:val="004561E3"/>
    <w:rsid w:val="00457AF7"/>
    <w:rsid w:val="00463C18"/>
    <w:rsid w:val="00466CCD"/>
    <w:rsid w:val="004734B8"/>
    <w:rsid w:val="00476A02"/>
    <w:rsid w:val="004824CE"/>
    <w:rsid w:val="004858C4"/>
    <w:rsid w:val="004859CA"/>
    <w:rsid w:val="0048766D"/>
    <w:rsid w:val="00491963"/>
    <w:rsid w:val="004976C0"/>
    <w:rsid w:val="004A52D6"/>
    <w:rsid w:val="004A5A16"/>
    <w:rsid w:val="004A672A"/>
    <w:rsid w:val="004A7B4D"/>
    <w:rsid w:val="004B18CD"/>
    <w:rsid w:val="004B2DEC"/>
    <w:rsid w:val="004D0754"/>
    <w:rsid w:val="004D392D"/>
    <w:rsid w:val="004D3D57"/>
    <w:rsid w:val="004D6D0E"/>
    <w:rsid w:val="004D77E8"/>
    <w:rsid w:val="004E4680"/>
    <w:rsid w:val="004E62EA"/>
    <w:rsid w:val="004E7EC9"/>
    <w:rsid w:val="004F09A0"/>
    <w:rsid w:val="004F169A"/>
    <w:rsid w:val="004F7812"/>
    <w:rsid w:val="00501090"/>
    <w:rsid w:val="00501109"/>
    <w:rsid w:val="00502C6D"/>
    <w:rsid w:val="0050391C"/>
    <w:rsid w:val="00503C15"/>
    <w:rsid w:val="00504F2B"/>
    <w:rsid w:val="00505964"/>
    <w:rsid w:val="00505ADB"/>
    <w:rsid w:val="00505B81"/>
    <w:rsid w:val="00506D67"/>
    <w:rsid w:val="00510183"/>
    <w:rsid w:val="00511B0E"/>
    <w:rsid w:val="00516D73"/>
    <w:rsid w:val="00517DEF"/>
    <w:rsid w:val="00520EE7"/>
    <w:rsid w:val="00524A8A"/>
    <w:rsid w:val="00525BA6"/>
    <w:rsid w:val="0052622E"/>
    <w:rsid w:val="00526898"/>
    <w:rsid w:val="00527D83"/>
    <w:rsid w:val="00533619"/>
    <w:rsid w:val="00545DFE"/>
    <w:rsid w:val="00546EA5"/>
    <w:rsid w:val="00551526"/>
    <w:rsid w:val="005576A3"/>
    <w:rsid w:val="00557ACB"/>
    <w:rsid w:val="005602B2"/>
    <w:rsid w:val="00561E9E"/>
    <w:rsid w:val="0056221A"/>
    <w:rsid w:val="00563A63"/>
    <w:rsid w:val="00564527"/>
    <w:rsid w:val="0056550F"/>
    <w:rsid w:val="00565B60"/>
    <w:rsid w:val="0057055A"/>
    <w:rsid w:val="00573259"/>
    <w:rsid w:val="0057660F"/>
    <w:rsid w:val="00576918"/>
    <w:rsid w:val="005769F6"/>
    <w:rsid w:val="00581138"/>
    <w:rsid w:val="00582223"/>
    <w:rsid w:val="0058716F"/>
    <w:rsid w:val="005912AB"/>
    <w:rsid w:val="0059140B"/>
    <w:rsid w:val="005962E4"/>
    <w:rsid w:val="005A0112"/>
    <w:rsid w:val="005A0425"/>
    <w:rsid w:val="005A0961"/>
    <w:rsid w:val="005A3B93"/>
    <w:rsid w:val="005A6D60"/>
    <w:rsid w:val="005B52C2"/>
    <w:rsid w:val="005B70D6"/>
    <w:rsid w:val="005C618A"/>
    <w:rsid w:val="005C75B4"/>
    <w:rsid w:val="005C77E8"/>
    <w:rsid w:val="005D0F92"/>
    <w:rsid w:val="005D17D4"/>
    <w:rsid w:val="005D2770"/>
    <w:rsid w:val="005D2B52"/>
    <w:rsid w:val="005D4B17"/>
    <w:rsid w:val="005E284D"/>
    <w:rsid w:val="005F7407"/>
    <w:rsid w:val="006016BB"/>
    <w:rsid w:val="00605F24"/>
    <w:rsid w:val="00613E7B"/>
    <w:rsid w:val="006141DF"/>
    <w:rsid w:val="006159C4"/>
    <w:rsid w:val="00616242"/>
    <w:rsid w:val="00616E6E"/>
    <w:rsid w:val="006178F4"/>
    <w:rsid w:val="00621625"/>
    <w:rsid w:val="0062209D"/>
    <w:rsid w:val="006230CC"/>
    <w:rsid w:val="00624394"/>
    <w:rsid w:val="0062485A"/>
    <w:rsid w:val="00630D31"/>
    <w:rsid w:val="0063259F"/>
    <w:rsid w:val="00637C8A"/>
    <w:rsid w:val="006430FC"/>
    <w:rsid w:val="00646C84"/>
    <w:rsid w:val="00651214"/>
    <w:rsid w:val="00651311"/>
    <w:rsid w:val="0065132E"/>
    <w:rsid w:val="00657AAD"/>
    <w:rsid w:val="006639A8"/>
    <w:rsid w:val="00670F57"/>
    <w:rsid w:val="00671556"/>
    <w:rsid w:val="00672078"/>
    <w:rsid w:val="00674FC1"/>
    <w:rsid w:val="00677256"/>
    <w:rsid w:val="00680B0E"/>
    <w:rsid w:val="0068668E"/>
    <w:rsid w:val="00686EC1"/>
    <w:rsid w:val="006932CF"/>
    <w:rsid w:val="00693F03"/>
    <w:rsid w:val="00694B40"/>
    <w:rsid w:val="006A0C5B"/>
    <w:rsid w:val="006A1686"/>
    <w:rsid w:val="006A1F24"/>
    <w:rsid w:val="006A462D"/>
    <w:rsid w:val="006A4C0B"/>
    <w:rsid w:val="006A59B4"/>
    <w:rsid w:val="006B0937"/>
    <w:rsid w:val="006B2C9A"/>
    <w:rsid w:val="006B4C1E"/>
    <w:rsid w:val="006C19C2"/>
    <w:rsid w:val="006C3098"/>
    <w:rsid w:val="006C7559"/>
    <w:rsid w:val="006D21E1"/>
    <w:rsid w:val="006E1602"/>
    <w:rsid w:val="006E6BE3"/>
    <w:rsid w:val="006E7987"/>
    <w:rsid w:val="006E7BDC"/>
    <w:rsid w:val="006F5996"/>
    <w:rsid w:val="006F72B5"/>
    <w:rsid w:val="007021BA"/>
    <w:rsid w:val="00703B81"/>
    <w:rsid w:val="007054AA"/>
    <w:rsid w:val="00710AF7"/>
    <w:rsid w:val="00711CF0"/>
    <w:rsid w:val="00715684"/>
    <w:rsid w:val="007167FA"/>
    <w:rsid w:val="00716E1A"/>
    <w:rsid w:val="00720721"/>
    <w:rsid w:val="007219E1"/>
    <w:rsid w:val="0072232E"/>
    <w:rsid w:val="00722FDC"/>
    <w:rsid w:val="007246DA"/>
    <w:rsid w:val="00727A08"/>
    <w:rsid w:val="00731F46"/>
    <w:rsid w:val="00733092"/>
    <w:rsid w:val="00733A14"/>
    <w:rsid w:val="00736330"/>
    <w:rsid w:val="00737096"/>
    <w:rsid w:val="00740BCF"/>
    <w:rsid w:val="00745145"/>
    <w:rsid w:val="007452DD"/>
    <w:rsid w:val="007478BA"/>
    <w:rsid w:val="007506D8"/>
    <w:rsid w:val="007529C8"/>
    <w:rsid w:val="00754096"/>
    <w:rsid w:val="007541D4"/>
    <w:rsid w:val="00756722"/>
    <w:rsid w:val="00757730"/>
    <w:rsid w:val="00757E65"/>
    <w:rsid w:val="00762A35"/>
    <w:rsid w:val="00764981"/>
    <w:rsid w:val="00765A4A"/>
    <w:rsid w:val="0077449D"/>
    <w:rsid w:val="007746D8"/>
    <w:rsid w:val="00774808"/>
    <w:rsid w:val="007748B6"/>
    <w:rsid w:val="00780C4D"/>
    <w:rsid w:val="00781E12"/>
    <w:rsid w:val="0078265D"/>
    <w:rsid w:val="007865C4"/>
    <w:rsid w:val="00786617"/>
    <w:rsid w:val="00787196"/>
    <w:rsid w:val="00791DB2"/>
    <w:rsid w:val="00797DE7"/>
    <w:rsid w:val="00797E54"/>
    <w:rsid w:val="007B70BE"/>
    <w:rsid w:val="007C1CC3"/>
    <w:rsid w:val="007C2660"/>
    <w:rsid w:val="007C4846"/>
    <w:rsid w:val="007D1430"/>
    <w:rsid w:val="007D3AD7"/>
    <w:rsid w:val="007D4808"/>
    <w:rsid w:val="007D5287"/>
    <w:rsid w:val="007E313C"/>
    <w:rsid w:val="007E4252"/>
    <w:rsid w:val="007E4372"/>
    <w:rsid w:val="007E47E4"/>
    <w:rsid w:val="007E6901"/>
    <w:rsid w:val="007E6FEC"/>
    <w:rsid w:val="007F3A22"/>
    <w:rsid w:val="007F750C"/>
    <w:rsid w:val="007F7F89"/>
    <w:rsid w:val="00805C3C"/>
    <w:rsid w:val="008111B4"/>
    <w:rsid w:val="008175B7"/>
    <w:rsid w:val="00820FF2"/>
    <w:rsid w:val="00822F81"/>
    <w:rsid w:val="0083154E"/>
    <w:rsid w:val="008335E5"/>
    <w:rsid w:val="00835284"/>
    <w:rsid w:val="00836434"/>
    <w:rsid w:val="008364C2"/>
    <w:rsid w:val="00837C92"/>
    <w:rsid w:val="00843517"/>
    <w:rsid w:val="008515A7"/>
    <w:rsid w:val="008522E4"/>
    <w:rsid w:val="00855ED1"/>
    <w:rsid w:val="0085716E"/>
    <w:rsid w:val="0086134B"/>
    <w:rsid w:val="008624B7"/>
    <w:rsid w:val="00863967"/>
    <w:rsid w:val="0086435C"/>
    <w:rsid w:val="00864F72"/>
    <w:rsid w:val="00865F15"/>
    <w:rsid w:val="008673FC"/>
    <w:rsid w:val="00871CAA"/>
    <w:rsid w:val="00876ABB"/>
    <w:rsid w:val="008770F7"/>
    <w:rsid w:val="008774DB"/>
    <w:rsid w:val="00882617"/>
    <w:rsid w:val="008839AD"/>
    <w:rsid w:val="008850CC"/>
    <w:rsid w:val="008919C9"/>
    <w:rsid w:val="008925AA"/>
    <w:rsid w:val="00892715"/>
    <w:rsid w:val="00892CD7"/>
    <w:rsid w:val="008930B0"/>
    <w:rsid w:val="008932FD"/>
    <w:rsid w:val="00893E97"/>
    <w:rsid w:val="00894083"/>
    <w:rsid w:val="0089500F"/>
    <w:rsid w:val="008952A4"/>
    <w:rsid w:val="00895EFF"/>
    <w:rsid w:val="008962D6"/>
    <w:rsid w:val="008A1F63"/>
    <w:rsid w:val="008A72E5"/>
    <w:rsid w:val="008A76B9"/>
    <w:rsid w:val="008B3503"/>
    <w:rsid w:val="008B682E"/>
    <w:rsid w:val="008C10F7"/>
    <w:rsid w:val="008C1413"/>
    <w:rsid w:val="008C1F5A"/>
    <w:rsid w:val="008C2267"/>
    <w:rsid w:val="008C23A9"/>
    <w:rsid w:val="008C3033"/>
    <w:rsid w:val="008C5687"/>
    <w:rsid w:val="008C6C7F"/>
    <w:rsid w:val="008C7D95"/>
    <w:rsid w:val="008D0F9F"/>
    <w:rsid w:val="008D2120"/>
    <w:rsid w:val="008D2178"/>
    <w:rsid w:val="008D322B"/>
    <w:rsid w:val="008D4256"/>
    <w:rsid w:val="008D4A51"/>
    <w:rsid w:val="008D53C4"/>
    <w:rsid w:val="008D7039"/>
    <w:rsid w:val="008D733B"/>
    <w:rsid w:val="008D7915"/>
    <w:rsid w:val="008E0552"/>
    <w:rsid w:val="008E1CDE"/>
    <w:rsid w:val="008F3D18"/>
    <w:rsid w:val="00900B71"/>
    <w:rsid w:val="0090251F"/>
    <w:rsid w:val="009049AA"/>
    <w:rsid w:val="00905026"/>
    <w:rsid w:val="00906299"/>
    <w:rsid w:val="009065E2"/>
    <w:rsid w:val="00913754"/>
    <w:rsid w:val="00914A5C"/>
    <w:rsid w:val="00916595"/>
    <w:rsid w:val="00917072"/>
    <w:rsid w:val="009206DB"/>
    <w:rsid w:val="00922337"/>
    <w:rsid w:val="009272A7"/>
    <w:rsid w:val="00927FE3"/>
    <w:rsid w:val="00930ADD"/>
    <w:rsid w:val="00931786"/>
    <w:rsid w:val="00936040"/>
    <w:rsid w:val="00940379"/>
    <w:rsid w:val="00942123"/>
    <w:rsid w:val="0094236E"/>
    <w:rsid w:val="00944F82"/>
    <w:rsid w:val="00951FA3"/>
    <w:rsid w:val="00953587"/>
    <w:rsid w:val="009624A1"/>
    <w:rsid w:val="0096354A"/>
    <w:rsid w:val="00965F6B"/>
    <w:rsid w:val="00966C80"/>
    <w:rsid w:val="009719FC"/>
    <w:rsid w:val="00971E93"/>
    <w:rsid w:val="009755F0"/>
    <w:rsid w:val="00982716"/>
    <w:rsid w:val="00982A2B"/>
    <w:rsid w:val="00985DE4"/>
    <w:rsid w:val="0098664A"/>
    <w:rsid w:val="00990AF8"/>
    <w:rsid w:val="00992885"/>
    <w:rsid w:val="00994579"/>
    <w:rsid w:val="0099513F"/>
    <w:rsid w:val="00995B8C"/>
    <w:rsid w:val="00996288"/>
    <w:rsid w:val="00997170"/>
    <w:rsid w:val="009A0972"/>
    <w:rsid w:val="009A0F24"/>
    <w:rsid w:val="009A3C10"/>
    <w:rsid w:val="009B1BC7"/>
    <w:rsid w:val="009C00EC"/>
    <w:rsid w:val="009C4115"/>
    <w:rsid w:val="009C513F"/>
    <w:rsid w:val="009D112D"/>
    <w:rsid w:val="009D3137"/>
    <w:rsid w:val="009D52BB"/>
    <w:rsid w:val="009E71CB"/>
    <w:rsid w:val="009E7C83"/>
    <w:rsid w:val="009F1EE1"/>
    <w:rsid w:val="009F21DF"/>
    <w:rsid w:val="009F24B5"/>
    <w:rsid w:val="009F3C80"/>
    <w:rsid w:val="009F3E32"/>
    <w:rsid w:val="009F4E2D"/>
    <w:rsid w:val="009F586E"/>
    <w:rsid w:val="009F71C1"/>
    <w:rsid w:val="009F7FCE"/>
    <w:rsid w:val="00A00035"/>
    <w:rsid w:val="00A00831"/>
    <w:rsid w:val="00A015DB"/>
    <w:rsid w:val="00A0549D"/>
    <w:rsid w:val="00A05A04"/>
    <w:rsid w:val="00A0752D"/>
    <w:rsid w:val="00A10ED7"/>
    <w:rsid w:val="00A15173"/>
    <w:rsid w:val="00A15B97"/>
    <w:rsid w:val="00A15E16"/>
    <w:rsid w:val="00A23FAF"/>
    <w:rsid w:val="00A25DF7"/>
    <w:rsid w:val="00A31286"/>
    <w:rsid w:val="00A31B1A"/>
    <w:rsid w:val="00A4442E"/>
    <w:rsid w:val="00A47624"/>
    <w:rsid w:val="00A51DB2"/>
    <w:rsid w:val="00A51EB6"/>
    <w:rsid w:val="00A5225B"/>
    <w:rsid w:val="00A5516F"/>
    <w:rsid w:val="00A5575C"/>
    <w:rsid w:val="00A56A02"/>
    <w:rsid w:val="00A60321"/>
    <w:rsid w:val="00A640D1"/>
    <w:rsid w:val="00A67BA9"/>
    <w:rsid w:val="00A718C5"/>
    <w:rsid w:val="00A77400"/>
    <w:rsid w:val="00A807A3"/>
    <w:rsid w:val="00A833FB"/>
    <w:rsid w:val="00A86379"/>
    <w:rsid w:val="00A86E85"/>
    <w:rsid w:val="00A86EF4"/>
    <w:rsid w:val="00A9108C"/>
    <w:rsid w:val="00A92744"/>
    <w:rsid w:val="00A95B5A"/>
    <w:rsid w:val="00A964A0"/>
    <w:rsid w:val="00A973AE"/>
    <w:rsid w:val="00AA5498"/>
    <w:rsid w:val="00AB2838"/>
    <w:rsid w:val="00AB3525"/>
    <w:rsid w:val="00AB60C1"/>
    <w:rsid w:val="00AB76BE"/>
    <w:rsid w:val="00AC1188"/>
    <w:rsid w:val="00AC2639"/>
    <w:rsid w:val="00AC273E"/>
    <w:rsid w:val="00AC476B"/>
    <w:rsid w:val="00AC497E"/>
    <w:rsid w:val="00AC5818"/>
    <w:rsid w:val="00AC5C35"/>
    <w:rsid w:val="00AC647B"/>
    <w:rsid w:val="00AC762D"/>
    <w:rsid w:val="00AD155A"/>
    <w:rsid w:val="00AE24E9"/>
    <w:rsid w:val="00AE465E"/>
    <w:rsid w:val="00AE4A78"/>
    <w:rsid w:val="00AE69DB"/>
    <w:rsid w:val="00AF18FF"/>
    <w:rsid w:val="00AF1B0A"/>
    <w:rsid w:val="00AF1BFA"/>
    <w:rsid w:val="00AF1F54"/>
    <w:rsid w:val="00AF2839"/>
    <w:rsid w:val="00AF3619"/>
    <w:rsid w:val="00B0179E"/>
    <w:rsid w:val="00B0378D"/>
    <w:rsid w:val="00B0515A"/>
    <w:rsid w:val="00B05D8F"/>
    <w:rsid w:val="00B0657E"/>
    <w:rsid w:val="00B07B98"/>
    <w:rsid w:val="00B11204"/>
    <w:rsid w:val="00B147CC"/>
    <w:rsid w:val="00B1519D"/>
    <w:rsid w:val="00B15D59"/>
    <w:rsid w:val="00B164EA"/>
    <w:rsid w:val="00B16CB4"/>
    <w:rsid w:val="00B16F60"/>
    <w:rsid w:val="00B20995"/>
    <w:rsid w:val="00B21216"/>
    <w:rsid w:val="00B27DF1"/>
    <w:rsid w:val="00B32990"/>
    <w:rsid w:val="00B34A0B"/>
    <w:rsid w:val="00B4094A"/>
    <w:rsid w:val="00B41012"/>
    <w:rsid w:val="00B434E5"/>
    <w:rsid w:val="00B461CE"/>
    <w:rsid w:val="00B464D3"/>
    <w:rsid w:val="00B50040"/>
    <w:rsid w:val="00B55920"/>
    <w:rsid w:val="00B63E30"/>
    <w:rsid w:val="00B64BB3"/>
    <w:rsid w:val="00B670E1"/>
    <w:rsid w:val="00B67FEA"/>
    <w:rsid w:val="00B71817"/>
    <w:rsid w:val="00B732C0"/>
    <w:rsid w:val="00B820DC"/>
    <w:rsid w:val="00B8330F"/>
    <w:rsid w:val="00B87DAB"/>
    <w:rsid w:val="00B9411B"/>
    <w:rsid w:val="00B94EE0"/>
    <w:rsid w:val="00B96C29"/>
    <w:rsid w:val="00BA4481"/>
    <w:rsid w:val="00BA4D37"/>
    <w:rsid w:val="00BA72F5"/>
    <w:rsid w:val="00BB0461"/>
    <w:rsid w:val="00BB175C"/>
    <w:rsid w:val="00BB247F"/>
    <w:rsid w:val="00BB2D9D"/>
    <w:rsid w:val="00BB3359"/>
    <w:rsid w:val="00BB47CF"/>
    <w:rsid w:val="00BB5AB8"/>
    <w:rsid w:val="00BB5C57"/>
    <w:rsid w:val="00BB7BB0"/>
    <w:rsid w:val="00BC3C67"/>
    <w:rsid w:val="00BC4A1D"/>
    <w:rsid w:val="00BC52DC"/>
    <w:rsid w:val="00BE0F95"/>
    <w:rsid w:val="00BE35EF"/>
    <w:rsid w:val="00BE49BD"/>
    <w:rsid w:val="00BE5E9E"/>
    <w:rsid w:val="00BE5EA7"/>
    <w:rsid w:val="00BE5F00"/>
    <w:rsid w:val="00BE6509"/>
    <w:rsid w:val="00BE7915"/>
    <w:rsid w:val="00BE7CC8"/>
    <w:rsid w:val="00BF1269"/>
    <w:rsid w:val="00BF1DBB"/>
    <w:rsid w:val="00BF274D"/>
    <w:rsid w:val="00BF6728"/>
    <w:rsid w:val="00BF746F"/>
    <w:rsid w:val="00C00F4F"/>
    <w:rsid w:val="00C035BD"/>
    <w:rsid w:val="00C03DC8"/>
    <w:rsid w:val="00C1070A"/>
    <w:rsid w:val="00C11514"/>
    <w:rsid w:val="00C12A18"/>
    <w:rsid w:val="00C13E14"/>
    <w:rsid w:val="00C15DCF"/>
    <w:rsid w:val="00C224BC"/>
    <w:rsid w:val="00C23665"/>
    <w:rsid w:val="00C26372"/>
    <w:rsid w:val="00C3049B"/>
    <w:rsid w:val="00C337A7"/>
    <w:rsid w:val="00C34756"/>
    <w:rsid w:val="00C34B82"/>
    <w:rsid w:val="00C36CC0"/>
    <w:rsid w:val="00C4075E"/>
    <w:rsid w:val="00C40AD2"/>
    <w:rsid w:val="00C418B7"/>
    <w:rsid w:val="00C45EB5"/>
    <w:rsid w:val="00C57026"/>
    <w:rsid w:val="00C6317C"/>
    <w:rsid w:val="00C661F3"/>
    <w:rsid w:val="00C66D62"/>
    <w:rsid w:val="00C67B1C"/>
    <w:rsid w:val="00C76FA0"/>
    <w:rsid w:val="00C82865"/>
    <w:rsid w:val="00C862C3"/>
    <w:rsid w:val="00C87AE9"/>
    <w:rsid w:val="00C90E6A"/>
    <w:rsid w:val="00C91950"/>
    <w:rsid w:val="00C93187"/>
    <w:rsid w:val="00C93D43"/>
    <w:rsid w:val="00C96C22"/>
    <w:rsid w:val="00CA2FBE"/>
    <w:rsid w:val="00CA3A54"/>
    <w:rsid w:val="00CB41F4"/>
    <w:rsid w:val="00CB45DA"/>
    <w:rsid w:val="00CB5232"/>
    <w:rsid w:val="00CD0D01"/>
    <w:rsid w:val="00CD335F"/>
    <w:rsid w:val="00CD3B7B"/>
    <w:rsid w:val="00CD4B51"/>
    <w:rsid w:val="00CD6522"/>
    <w:rsid w:val="00CE1BE8"/>
    <w:rsid w:val="00CE20BA"/>
    <w:rsid w:val="00CE59E4"/>
    <w:rsid w:val="00CE5B3B"/>
    <w:rsid w:val="00CE5F2F"/>
    <w:rsid w:val="00CF070F"/>
    <w:rsid w:val="00CF2273"/>
    <w:rsid w:val="00D02704"/>
    <w:rsid w:val="00D02C02"/>
    <w:rsid w:val="00D03401"/>
    <w:rsid w:val="00D043A1"/>
    <w:rsid w:val="00D04A77"/>
    <w:rsid w:val="00D076D0"/>
    <w:rsid w:val="00D125AF"/>
    <w:rsid w:val="00D13ACE"/>
    <w:rsid w:val="00D14318"/>
    <w:rsid w:val="00D144D9"/>
    <w:rsid w:val="00D15FE4"/>
    <w:rsid w:val="00D2068D"/>
    <w:rsid w:val="00D23231"/>
    <w:rsid w:val="00D248A3"/>
    <w:rsid w:val="00D250AB"/>
    <w:rsid w:val="00D272C1"/>
    <w:rsid w:val="00D32313"/>
    <w:rsid w:val="00D33E5A"/>
    <w:rsid w:val="00D42CF1"/>
    <w:rsid w:val="00D44586"/>
    <w:rsid w:val="00D50619"/>
    <w:rsid w:val="00D559EC"/>
    <w:rsid w:val="00D6101F"/>
    <w:rsid w:val="00D627A0"/>
    <w:rsid w:val="00D71BAC"/>
    <w:rsid w:val="00D7268B"/>
    <w:rsid w:val="00D754DF"/>
    <w:rsid w:val="00D75FEA"/>
    <w:rsid w:val="00D77D39"/>
    <w:rsid w:val="00D81563"/>
    <w:rsid w:val="00D81EE4"/>
    <w:rsid w:val="00D8276A"/>
    <w:rsid w:val="00D82E60"/>
    <w:rsid w:val="00D85DB7"/>
    <w:rsid w:val="00D86988"/>
    <w:rsid w:val="00D90EB1"/>
    <w:rsid w:val="00D94756"/>
    <w:rsid w:val="00D96BB5"/>
    <w:rsid w:val="00DA3F70"/>
    <w:rsid w:val="00DB2F7F"/>
    <w:rsid w:val="00DB6BCA"/>
    <w:rsid w:val="00DC20E1"/>
    <w:rsid w:val="00DC29B6"/>
    <w:rsid w:val="00DC6FA5"/>
    <w:rsid w:val="00DD6ED9"/>
    <w:rsid w:val="00DD7093"/>
    <w:rsid w:val="00DE069E"/>
    <w:rsid w:val="00DE08D8"/>
    <w:rsid w:val="00DE1133"/>
    <w:rsid w:val="00DE4BC1"/>
    <w:rsid w:val="00DE4F02"/>
    <w:rsid w:val="00DE506E"/>
    <w:rsid w:val="00DE6E55"/>
    <w:rsid w:val="00DF0514"/>
    <w:rsid w:val="00DF1457"/>
    <w:rsid w:val="00DF2D18"/>
    <w:rsid w:val="00DF5470"/>
    <w:rsid w:val="00DF5BFA"/>
    <w:rsid w:val="00DF73AA"/>
    <w:rsid w:val="00E00870"/>
    <w:rsid w:val="00E03652"/>
    <w:rsid w:val="00E07470"/>
    <w:rsid w:val="00E07F06"/>
    <w:rsid w:val="00E13BDA"/>
    <w:rsid w:val="00E2160D"/>
    <w:rsid w:val="00E2178C"/>
    <w:rsid w:val="00E251D8"/>
    <w:rsid w:val="00E25D37"/>
    <w:rsid w:val="00E33F60"/>
    <w:rsid w:val="00E35A7B"/>
    <w:rsid w:val="00E3783C"/>
    <w:rsid w:val="00E410B5"/>
    <w:rsid w:val="00E45C8D"/>
    <w:rsid w:val="00E46D3B"/>
    <w:rsid w:val="00E51306"/>
    <w:rsid w:val="00E53131"/>
    <w:rsid w:val="00E53E93"/>
    <w:rsid w:val="00E55060"/>
    <w:rsid w:val="00E5564C"/>
    <w:rsid w:val="00E62D41"/>
    <w:rsid w:val="00E70269"/>
    <w:rsid w:val="00E72420"/>
    <w:rsid w:val="00E755B2"/>
    <w:rsid w:val="00E765A8"/>
    <w:rsid w:val="00E76A5F"/>
    <w:rsid w:val="00E77752"/>
    <w:rsid w:val="00E779D1"/>
    <w:rsid w:val="00E8059E"/>
    <w:rsid w:val="00E81A54"/>
    <w:rsid w:val="00E84E57"/>
    <w:rsid w:val="00E8594F"/>
    <w:rsid w:val="00E860DE"/>
    <w:rsid w:val="00E86997"/>
    <w:rsid w:val="00E86DD9"/>
    <w:rsid w:val="00E94B98"/>
    <w:rsid w:val="00EA07B6"/>
    <w:rsid w:val="00EA4757"/>
    <w:rsid w:val="00EA6D69"/>
    <w:rsid w:val="00EB0175"/>
    <w:rsid w:val="00EB3713"/>
    <w:rsid w:val="00EB49E4"/>
    <w:rsid w:val="00EB6A7F"/>
    <w:rsid w:val="00EC130B"/>
    <w:rsid w:val="00EC202D"/>
    <w:rsid w:val="00EC26F8"/>
    <w:rsid w:val="00EC2977"/>
    <w:rsid w:val="00EC7197"/>
    <w:rsid w:val="00ED1223"/>
    <w:rsid w:val="00ED232A"/>
    <w:rsid w:val="00ED3AFF"/>
    <w:rsid w:val="00EE39D1"/>
    <w:rsid w:val="00EE4CA2"/>
    <w:rsid w:val="00EE569E"/>
    <w:rsid w:val="00EF4DE7"/>
    <w:rsid w:val="00EF5014"/>
    <w:rsid w:val="00EF5626"/>
    <w:rsid w:val="00EF6364"/>
    <w:rsid w:val="00EF6897"/>
    <w:rsid w:val="00EF68F0"/>
    <w:rsid w:val="00EF6A4D"/>
    <w:rsid w:val="00EF7B5E"/>
    <w:rsid w:val="00F00121"/>
    <w:rsid w:val="00F06F3F"/>
    <w:rsid w:val="00F06F9E"/>
    <w:rsid w:val="00F1215A"/>
    <w:rsid w:val="00F12D66"/>
    <w:rsid w:val="00F23C04"/>
    <w:rsid w:val="00F335E3"/>
    <w:rsid w:val="00F35F13"/>
    <w:rsid w:val="00F409EC"/>
    <w:rsid w:val="00F40AF7"/>
    <w:rsid w:val="00F41E75"/>
    <w:rsid w:val="00F4291D"/>
    <w:rsid w:val="00F4475A"/>
    <w:rsid w:val="00F44AA9"/>
    <w:rsid w:val="00F520B3"/>
    <w:rsid w:val="00F64823"/>
    <w:rsid w:val="00F70B5C"/>
    <w:rsid w:val="00F734A7"/>
    <w:rsid w:val="00F73802"/>
    <w:rsid w:val="00F75A7E"/>
    <w:rsid w:val="00F760D4"/>
    <w:rsid w:val="00F762A7"/>
    <w:rsid w:val="00F76777"/>
    <w:rsid w:val="00F7710E"/>
    <w:rsid w:val="00F77E69"/>
    <w:rsid w:val="00F80161"/>
    <w:rsid w:val="00F815CD"/>
    <w:rsid w:val="00F81EF5"/>
    <w:rsid w:val="00F84A9E"/>
    <w:rsid w:val="00F85821"/>
    <w:rsid w:val="00F85EE8"/>
    <w:rsid w:val="00F86C74"/>
    <w:rsid w:val="00F92115"/>
    <w:rsid w:val="00F929A0"/>
    <w:rsid w:val="00F92CE1"/>
    <w:rsid w:val="00F92F1B"/>
    <w:rsid w:val="00F96452"/>
    <w:rsid w:val="00FA4CB9"/>
    <w:rsid w:val="00FA69EF"/>
    <w:rsid w:val="00FC34E8"/>
    <w:rsid w:val="00FC3C71"/>
    <w:rsid w:val="00FD0FBE"/>
    <w:rsid w:val="00FD5035"/>
    <w:rsid w:val="00FD5890"/>
    <w:rsid w:val="00FD7A49"/>
    <w:rsid w:val="00FE038A"/>
    <w:rsid w:val="00FE2C6C"/>
    <w:rsid w:val="00FE3E7E"/>
    <w:rsid w:val="00FF58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98978"/>
  <w15:docId w15:val="{9648577C-C79C-4993-AC48-6FB6C03C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A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C93"/>
    <w:pPr>
      <w:ind w:left="720"/>
      <w:contextualSpacing/>
    </w:pPr>
  </w:style>
  <w:style w:type="paragraph" w:styleId="Header">
    <w:name w:val="header"/>
    <w:basedOn w:val="Normal"/>
    <w:link w:val="HeaderChar"/>
    <w:uiPriority w:val="99"/>
    <w:rsid w:val="009206D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206DB"/>
    <w:rPr>
      <w:rFonts w:ascii="Times New Roman" w:eastAsia="Times New Roman" w:hAnsi="Times New Roman" w:cs="Times New Roman"/>
      <w:sz w:val="24"/>
      <w:szCs w:val="20"/>
    </w:rPr>
  </w:style>
  <w:style w:type="paragraph" w:styleId="Caption">
    <w:name w:val="caption"/>
    <w:basedOn w:val="Normal"/>
    <w:next w:val="Normal"/>
    <w:qFormat/>
    <w:rsid w:val="009206DB"/>
    <w:pPr>
      <w:spacing w:after="0" w:line="240" w:lineRule="auto"/>
      <w:jc w:val="center"/>
    </w:pPr>
    <w:rPr>
      <w:rFonts w:ascii="Times New Roman" w:eastAsia="Times New Roman" w:hAnsi="Times New Roman" w:cs="Times New Roman"/>
      <w:b/>
      <w:bCs/>
      <w:w w:val="90"/>
      <w:sz w:val="24"/>
      <w:szCs w:val="20"/>
    </w:rPr>
  </w:style>
  <w:style w:type="character" w:customStyle="1" w:styleId="apple-converted-space">
    <w:name w:val="apple-converted-space"/>
    <w:basedOn w:val="DefaultParagraphFont"/>
    <w:rsid w:val="00944F82"/>
  </w:style>
  <w:style w:type="character" w:styleId="Hyperlink">
    <w:name w:val="Hyperlink"/>
    <w:basedOn w:val="DefaultParagraphFont"/>
    <w:uiPriority w:val="99"/>
    <w:unhideWhenUsed/>
    <w:rsid w:val="00944F82"/>
    <w:rPr>
      <w:color w:val="0000FF"/>
      <w:u w:val="single"/>
    </w:rPr>
  </w:style>
  <w:style w:type="table" w:styleId="TableGrid">
    <w:name w:val="Table Grid"/>
    <w:basedOn w:val="TableNormal"/>
    <w:uiPriority w:val="39"/>
    <w:rsid w:val="001C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5B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65B9B"/>
  </w:style>
  <w:style w:type="paragraph" w:styleId="NoSpacing">
    <w:name w:val="No Spacing"/>
    <w:uiPriority w:val="1"/>
    <w:qFormat/>
    <w:rsid w:val="00D81563"/>
    <w:pPr>
      <w:spacing w:after="0" w:line="240" w:lineRule="auto"/>
    </w:pPr>
  </w:style>
  <w:style w:type="character" w:styleId="CommentReference">
    <w:name w:val="annotation reference"/>
    <w:basedOn w:val="DefaultParagraphFont"/>
    <w:uiPriority w:val="99"/>
    <w:semiHidden/>
    <w:unhideWhenUsed/>
    <w:rsid w:val="0037206E"/>
    <w:rPr>
      <w:sz w:val="16"/>
      <w:szCs w:val="16"/>
    </w:rPr>
  </w:style>
  <w:style w:type="paragraph" w:styleId="CommentText">
    <w:name w:val="annotation text"/>
    <w:basedOn w:val="Normal"/>
    <w:link w:val="CommentTextChar"/>
    <w:uiPriority w:val="99"/>
    <w:unhideWhenUsed/>
    <w:rsid w:val="0037206E"/>
    <w:pPr>
      <w:spacing w:line="240" w:lineRule="auto"/>
    </w:pPr>
    <w:rPr>
      <w:sz w:val="20"/>
      <w:szCs w:val="20"/>
    </w:rPr>
  </w:style>
  <w:style w:type="character" w:customStyle="1" w:styleId="CommentTextChar">
    <w:name w:val="Comment Text Char"/>
    <w:basedOn w:val="DefaultParagraphFont"/>
    <w:link w:val="CommentText"/>
    <w:uiPriority w:val="99"/>
    <w:rsid w:val="0037206E"/>
    <w:rPr>
      <w:sz w:val="20"/>
      <w:szCs w:val="20"/>
    </w:rPr>
  </w:style>
  <w:style w:type="paragraph" w:styleId="CommentSubject">
    <w:name w:val="annotation subject"/>
    <w:basedOn w:val="CommentText"/>
    <w:next w:val="CommentText"/>
    <w:link w:val="CommentSubjectChar"/>
    <w:uiPriority w:val="99"/>
    <w:semiHidden/>
    <w:unhideWhenUsed/>
    <w:rsid w:val="0037206E"/>
    <w:rPr>
      <w:b/>
      <w:bCs/>
    </w:rPr>
  </w:style>
  <w:style w:type="character" w:customStyle="1" w:styleId="CommentSubjectChar">
    <w:name w:val="Comment Subject Char"/>
    <w:basedOn w:val="CommentTextChar"/>
    <w:link w:val="CommentSubject"/>
    <w:uiPriority w:val="99"/>
    <w:semiHidden/>
    <w:rsid w:val="0037206E"/>
    <w:rPr>
      <w:b/>
      <w:bCs/>
      <w:sz w:val="20"/>
      <w:szCs w:val="20"/>
    </w:rPr>
  </w:style>
  <w:style w:type="paragraph" w:styleId="BalloonText">
    <w:name w:val="Balloon Text"/>
    <w:basedOn w:val="Normal"/>
    <w:link w:val="BalloonTextChar"/>
    <w:uiPriority w:val="99"/>
    <w:semiHidden/>
    <w:unhideWhenUsed/>
    <w:rsid w:val="0037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06E"/>
    <w:rPr>
      <w:rFonts w:ascii="Segoe UI" w:hAnsi="Segoe UI" w:cs="Segoe UI"/>
      <w:sz w:val="18"/>
      <w:szCs w:val="18"/>
    </w:rPr>
  </w:style>
  <w:style w:type="character" w:customStyle="1" w:styleId="Heading1Char">
    <w:name w:val="Heading 1 Char"/>
    <w:basedOn w:val="DefaultParagraphFont"/>
    <w:link w:val="Heading1"/>
    <w:uiPriority w:val="9"/>
    <w:rsid w:val="00081AE2"/>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1D18B5"/>
    <w:pPr>
      <w:spacing w:after="0" w:line="240" w:lineRule="auto"/>
    </w:pPr>
  </w:style>
  <w:style w:type="paragraph" w:customStyle="1" w:styleId="Tabletext">
    <w:name w:val="Tabletext"/>
    <w:basedOn w:val="Normal"/>
    <w:rsid w:val="00361837"/>
    <w:pPr>
      <w:keepLines/>
      <w:spacing w:after="120" w:line="240" w:lineRule="auto"/>
      <w:jc w:val="both"/>
    </w:pPr>
    <w:rPr>
      <w:rFonts w:ascii="Danske Text" w:eastAsia="Times New Roman" w:hAnsi="Danske Text" w:cs="Times New Roman"/>
      <w:sz w:val="20"/>
      <w:szCs w:val="20"/>
    </w:rPr>
  </w:style>
  <w:style w:type="character" w:styleId="PlaceholderText">
    <w:name w:val="Placeholder Text"/>
    <w:basedOn w:val="DefaultParagraphFont"/>
    <w:uiPriority w:val="99"/>
    <w:semiHidden/>
    <w:rsid w:val="00361837"/>
    <w:rPr>
      <w:color w:val="808080"/>
    </w:rPr>
  </w:style>
  <w:style w:type="paragraph" w:styleId="TOCHeading">
    <w:name w:val="TOC Heading"/>
    <w:basedOn w:val="Heading1"/>
    <w:next w:val="Normal"/>
    <w:uiPriority w:val="39"/>
    <w:unhideWhenUsed/>
    <w:qFormat/>
    <w:rsid w:val="00361837"/>
    <w:pPr>
      <w:outlineLvl w:val="9"/>
    </w:pPr>
    <w:rPr>
      <w:lang w:val="en-US"/>
    </w:rPr>
  </w:style>
  <w:style w:type="paragraph" w:styleId="TOC1">
    <w:name w:val="toc 1"/>
    <w:basedOn w:val="Normal"/>
    <w:next w:val="Normal"/>
    <w:autoRedefine/>
    <w:uiPriority w:val="39"/>
    <w:unhideWhenUsed/>
    <w:rsid w:val="00361837"/>
    <w:pPr>
      <w:tabs>
        <w:tab w:val="left" w:pos="660"/>
        <w:tab w:val="right" w:leader="dot" w:pos="9628"/>
      </w:tabs>
      <w:spacing w:after="100"/>
    </w:pPr>
  </w:style>
  <w:style w:type="character" w:styleId="FollowedHyperlink">
    <w:name w:val="FollowedHyperlink"/>
    <w:basedOn w:val="DefaultParagraphFont"/>
    <w:uiPriority w:val="99"/>
    <w:semiHidden/>
    <w:unhideWhenUsed/>
    <w:rsid w:val="0015681B"/>
    <w:rPr>
      <w:color w:val="954F72" w:themeColor="followedHyperlink"/>
      <w:u w:val="single"/>
    </w:rPr>
  </w:style>
  <w:style w:type="paragraph" w:styleId="NormalWeb">
    <w:name w:val="Normal (Web)"/>
    <w:basedOn w:val="Normal"/>
    <w:uiPriority w:val="99"/>
    <w:semiHidden/>
    <w:unhideWhenUsed/>
    <w:rsid w:val="008C6C7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762A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A35"/>
    <w:rPr>
      <w:sz w:val="20"/>
      <w:szCs w:val="20"/>
    </w:rPr>
  </w:style>
  <w:style w:type="character" w:styleId="FootnoteReference">
    <w:name w:val="footnote reference"/>
    <w:basedOn w:val="DefaultParagraphFont"/>
    <w:uiPriority w:val="99"/>
    <w:semiHidden/>
    <w:unhideWhenUsed/>
    <w:rsid w:val="00762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660">
      <w:bodyDiv w:val="1"/>
      <w:marLeft w:val="0"/>
      <w:marRight w:val="0"/>
      <w:marTop w:val="0"/>
      <w:marBottom w:val="0"/>
      <w:divBdr>
        <w:top w:val="none" w:sz="0" w:space="0" w:color="auto"/>
        <w:left w:val="none" w:sz="0" w:space="0" w:color="auto"/>
        <w:bottom w:val="none" w:sz="0" w:space="0" w:color="auto"/>
        <w:right w:val="none" w:sz="0" w:space="0" w:color="auto"/>
      </w:divBdr>
      <w:divsChild>
        <w:div w:id="1782020995">
          <w:marLeft w:val="562"/>
          <w:marRight w:val="0"/>
          <w:marTop w:val="120"/>
          <w:marBottom w:val="0"/>
          <w:divBdr>
            <w:top w:val="none" w:sz="0" w:space="0" w:color="auto"/>
            <w:left w:val="none" w:sz="0" w:space="0" w:color="auto"/>
            <w:bottom w:val="none" w:sz="0" w:space="0" w:color="auto"/>
            <w:right w:val="none" w:sz="0" w:space="0" w:color="auto"/>
          </w:divBdr>
        </w:div>
      </w:divsChild>
    </w:div>
    <w:div w:id="128519295">
      <w:bodyDiv w:val="1"/>
      <w:marLeft w:val="0"/>
      <w:marRight w:val="0"/>
      <w:marTop w:val="0"/>
      <w:marBottom w:val="0"/>
      <w:divBdr>
        <w:top w:val="none" w:sz="0" w:space="0" w:color="auto"/>
        <w:left w:val="none" w:sz="0" w:space="0" w:color="auto"/>
        <w:bottom w:val="none" w:sz="0" w:space="0" w:color="auto"/>
        <w:right w:val="none" w:sz="0" w:space="0" w:color="auto"/>
      </w:divBdr>
    </w:div>
    <w:div w:id="413627049">
      <w:bodyDiv w:val="1"/>
      <w:marLeft w:val="0"/>
      <w:marRight w:val="0"/>
      <w:marTop w:val="0"/>
      <w:marBottom w:val="0"/>
      <w:divBdr>
        <w:top w:val="none" w:sz="0" w:space="0" w:color="auto"/>
        <w:left w:val="none" w:sz="0" w:space="0" w:color="auto"/>
        <w:bottom w:val="none" w:sz="0" w:space="0" w:color="auto"/>
        <w:right w:val="none" w:sz="0" w:space="0" w:color="auto"/>
      </w:divBdr>
    </w:div>
    <w:div w:id="495416741">
      <w:bodyDiv w:val="1"/>
      <w:marLeft w:val="0"/>
      <w:marRight w:val="0"/>
      <w:marTop w:val="0"/>
      <w:marBottom w:val="0"/>
      <w:divBdr>
        <w:top w:val="none" w:sz="0" w:space="0" w:color="auto"/>
        <w:left w:val="none" w:sz="0" w:space="0" w:color="auto"/>
        <w:bottom w:val="none" w:sz="0" w:space="0" w:color="auto"/>
        <w:right w:val="none" w:sz="0" w:space="0" w:color="auto"/>
      </w:divBdr>
    </w:div>
    <w:div w:id="526220603">
      <w:bodyDiv w:val="1"/>
      <w:marLeft w:val="0"/>
      <w:marRight w:val="0"/>
      <w:marTop w:val="0"/>
      <w:marBottom w:val="0"/>
      <w:divBdr>
        <w:top w:val="none" w:sz="0" w:space="0" w:color="auto"/>
        <w:left w:val="none" w:sz="0" w:space="0" w:color="auto"/>
        <w:bottom w:val="none" w:sz="0" w:space="0" w:color="auto"/>
        <w:right w:val="none" w:sz="0" w:space="0" w:color="auto"/>
      </w:divBdr>
    </w:div>
    <w:div w:id="724567998">
      <w:bodyDiv w:val="1"/>
      <w:marLeft w:val="0"/>
      <w:marRight w:val="0"/>
      <w:marTop w:val="0"/>
      <w:marBottom w:val="0"/>
      <w:divBdr>
        <w:top w:val="none" w:sz="0" w:space="0" w:color="auto"/>
        <w:left w:val="none" w:sz="0" w:space="0" w:color="auto"/>
        <w:bottom w:val="none" w:sz="0" w:space="0" w:color="auto"/>
        <w:right w:val="none" w:sz="0" w:space="0" w:color="auto"/>
      </w:divBdr>
    </w:div>
    <w:div w:id="815339166">
      <w:bodyDiv w:val="1"/>
      <w:marLeft w:val="0"/>
      <w:marRight w:val="0"/>
      <w:marTop w:val="0"/>
      <w:marBottom w:val="0"/>
      <w:divBdr>
        <w:top w:val="none" w:sz="0" w:space="0" w:color="auto"/>
        <w:left w:val="none" w:sz="0" w:space="0" w:color="auto"/>
        <w:bottom w:val="none" w:sz="0" w:space="0" w:color="auto"/>
        <w:right w:val="none" w:sz="0" w:space="0" w:color="auto"/>
      </w:divBdr>
    </w:div>
    <w:div w:id="842628505">
      <w:bodyDiv w:val="1"/>
      <w:marLeft w:val="0"/>
      <w:marRight w:val="0"/>
      <w:marTop w:val="0"/>
      <w:marBottom w:val="0"/>
      <w:divBdr>
        <w:top w:val="none" w:sz="0" w:space="0" w:color="auto"/>
        <w:left w:val="none" w:sz="0" w:space="0" w:color="auto"/>
        <w:bottom w:val="none" w:sz="0" w:space="0" w:color="auto"/>
        <w:right w:val="none" w:sz="0" w:space="0" w:color="auto"/>
      </w:divBdr>
    </w:div>
    <w:div w:id="882249095">
      <w:bodyDiv w:val="1"/>
      <w:marLeft w:val="0"/>
      <w:marRight w:val="0"/>
      <w:marTop w:val="0"/>
      <w:marBottom w:val="0"/>
      <w:divBdr>
        <w:top w:val="none" w:sz="0" w:space="0" w:color="auto"/>
        <w:left w:val="none" w:sz="0" w:space="0" w:color="auto"/>
        <w:bottom w:val="none" w:sz="0" w:space="0" w:color="auto"/>
        <w:right w:val="none" w:sz="0" w:space="0" w:color="auto"/>
      </w:divBdr>
    </w:div>
    <w:div w:id="932473728">
      <w:bodyDiv w:val="1"/>
      <w:marLeft w:val="0"/>
      <w:marRight w:val="0"/>
      <w:marTop w:val="0"/>
      <w:marBottom w:val="0"/>
      <w:divBdr>
        <w:top w:val="none" w:sz="0" w:space="0" w:color="auto"/>
        <w:left w:val="none" w:sz="0" w:space="0" w:color="auto"/>
        <w:bottom w:val="none" w:sz="0" w:space="0" w:color="auto"/>
        <w:right w:val="none" w:sz="0" w:space="0" w:color="auto"/>
      </w:divBdr>
    </w:div>
    <w:div w:id="1081953560">
      <w:bodyDiv w:val="1"/>
      <w:marLeft w:val="0"/>
      <w:marRight w:val="0"/>
      <w:marTop w:val="0"/>
      <w:marBottom w:val="0"/>
      <w:divBdr>
        <w:top w:val="none" w:sz="0" w:space="0" w:color="auto"/>
        <w:left w:val="none" w:sz="0" w:space="0" w:color="auto"/>
        <w:bottom w:val="none" w:sz="0" w:space="0" w:color="auto"/>
        <w:right w:val="none" w:sz="0" w:space="0" w:color="auto"/>
      </w:divBdr>
    </w:div>
    <w:div w:id="1143501143">
      <w:bodyDiv w:val="1"/>
      <w:marLeft w:val="0"/>
      <w:marRight w:val="0"/>
      <w:marTop w:val="0"/>
      <w:marBottom w:val="0"/>
      <w:divBdr>
        <w:top w:val="none" w:sz="0" w:space="0" w:color="auto"/>
        <w:left w:val="none" w:sz="0" w:space="0" w:color="auto"/>
        <w:bottom w:val="none" w:sz="0" w:space="0" w:color="auto"/>
        <w:right w:val="none" w:sz="0" w:space="0" w:color="auto"/>
      </w:divBdr>
    </w:div>
    <w:div w:id="1164934207">
      <w:bodyDiv w:val="1"/>
      <w:marLeft w:val="0"/>
      <w:marRight w:val="0"/>
      <w:marTop w:val="0"/>
      <w:marBottom w:val="0"/>
      <w:divBdr>
        <w:top w:val="none" w:sz="0" w:space="0" w:color="auto"/>
        <w:left w:val="none" w:sz="0" w:space="0" w:color="auto"/>
        <w:bottom w:val="none" w:sz="0" w:space="0" w:color="auto"/>
        <w:right w:val="none" w:sz="0" w:space="0" w:color="auto"/>
      </w:divBdr>
    </w:div>
    <w:div w:id="1314523254">
      <w:bodyDiv w:val="1"/>
      <w:marLeft w:val="0"/>
      <w:marRight w:val="0"/>
      <w:marTop w:val="0"/>
      <w:marBottom w:val="0"/>
      <w:divBdr>
        <w:top w:val="none" w:sz="0" w:space="0" w:color="auto"/>
        <w:left w:val="none" w:sz="0" w:space="0" w:color="auto"/>
        <w:bottom w:val="none" w:sz="0" w:space="0" w:color="auto"/>
        <w:right w:val="none" w:sz="0" w:space="0" w:color="auto"/>
      </w:divBdr>
    </w:div>
    <w:div w:id="1445079825">
      <w:bodyDiv w:val="1"/>
      <w:marLeft w:val="0"/>
      <w:marRight w:val="0"/>
      <w:marTop w:val="0"/>
      <w:marBottom w:val="0"/>
      <w:divBdr>
        <w:top w:val="none" w:sz="0" w:space="0" w:color="auto"/>
        <w:left w:val="none" w:sz="0" w:space="0" w:color="auto"/>
        <w:bottom w:val="none" w:sz="0" w:space="0" w:color="auto"/>
        <w:right w:val="none" w:sz="0" w:space="0" w:color="auto"/>
      </w:divBdr>
    </w:div>
    <w:div w:id="1609891873">
      <w:bodyDiv w:val="1"/>
      <w:marLeft w:val="0"/>
      <w:marRight w:val="0"/>
      <w:marTop w:val="0"/>
      <w:marBottom w:val="0"/>
      <w:divBdr>
        <w:top w:val="none" w:sz="0" w:space="0" w:color="auto"/>
        <w:left w:val="none" w:sz="0" w:space="0" w:color="auto"/>
        <w:bottom w:val="none" w:sz="0" w:space="0" w:color="auto"/>
        <w:right w:val="none" w:sz="0" w:space="0" w:color="auto"/>
      </w:divBdr>
    </w:div>
    <w:div w:id="1931159930">
      <w:bodyDiv w:val="1"/>
      <w:marLeft w:val="0"/>
      <w:marRight w:val="0"/>
      <w:marTop w:val="0"/>
      <w:marBottom w:val="0"/>
      <w:divBdr>
        <w:top w:val="none" w:sz="0" w:space="0" w:color="auto"/>
        <w:left w:val="none" w:sz="0" w:space="0" w:color="auto"/>
        <w:bottom w:val="none" w:sz="0" w:space="0" w:color="auto"/>
        <w:right w:val="none" w:sz="0" w:space="0" w:color="auto"/>
      </w:divBdr>
    </w:div>
    <w:div w:id="1984508416">
      <w:bodyDiv w:val="1"/>
      <w:marLeft w:val="0"/>
      <w:marRight w:val="0"/>
      <w:marTop w:val="0"/>
      <w:marBottom w:val="0"/>
      <w:divBdr>
        <w:top w:val="none" w:sz="0" w:space="0" w:color="auto"/>
        <w:left w:val="none" w:sz="0" w:space="0" w:color="auto"/>
        <w:bottom w:val="none" w:sz="0" w:space="0" w:color="auto"/>
        <w:right w:val="none" w:sz="0" w:space="0" w:color="auto"/>
      </w:divBdr>
    </w:div>
    <w:div w:id="2003969841">
      <w:bodyDiv w:val="1"/>
      <w:marLeft w:val="0"/>
      <w:marRight w:val="0"/>
      <w:marTop w:val="0"/>
      <w:marBottom w:val="0"/>
      <w:divBdr>
        <w:top w:val="none" w:sz="0" w:space="0" w:color="auto"/>
        <w:left w:val="none" w:sz="0" w:space="0" w:color="auto"/>
        <w:bottom w:val="none" w:sz="0" w:space="0" w:color="auto"/>
        <w:right w:val="none" w:sz="0" w:space="0" w:color="auto"/>
      </w:divBdr>
    </w:div>
    <w:div w:id="20546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etuvospastas.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3F606F28C53F3E4FA0E53D03996F6842" ma:contentTypeVersion="5" ma:contentTypeDescription="Kurkite naują dokumentą." ma:contentTypeScope="" ma:versionID="29487ba06a854d3b30b03bf6a1fc982a">
  <xsd:schema xmlns:xsd="http://www.w3.org/2001/XMLSchema" xmlns:xs="http://www.w3.org/2001/XMLSchema" xmlns:p="http://schemas.microsoft.com/office/2006/metadata/properties" xmlns:ns3="60778642-0161-415d-b480-2ca16a6952d6" xmlns:ns4="93802528-e7ce-4867-9d26-ed93b4d78578" targetNamespace="http://schemas.microsoft.com/office/2006/metadata/properties" ma:root="true" ma:fieldsID="8db9d26bb29774b09849f2546845502c" ns3:_="" ns4:_="">
    <xsd:import namespace="60778642-0161-415d-b480-2ca16a6952d6"/>
    <xsd:import namespace="93802528-e7ce-4867-9d26-ed93b4d78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8642-0161-415d-b480-2ca16a6952d6"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02528-e7ce-4867-9d26-ed93b4d78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A4798-A229-4DFB-A7F8-2BBF5A169C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FB9E6-AD62-426A-980A-553FD70B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8642-0161-415d-b480-2ca16a6952d6"/>
    <ds:schemaRef ds:uri="93802528-e7ce-4867-9d26-ed93b4d78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E99A3-2C33-4FD6-90C8-0D85C575CCEF}">
  <ds:schemaRefs>
    <ds:schemaRef ds:uri="http://schemas.openxmlformats.org/officeDocument/2006/bibliography"/>
  </ds:schemaRefs>
</ds:datastoreItem>
</file>

<file path=customXml/itemProps4.xml><?xml version="1.0" encoding="utf-8"?>
<ds:datastoreItem xmlns:ds="http://schemas.openxmlformats.org/officeDocument/2006/customXml" ds:itemID="{938B0D42-31DF-4E9C-9BD3-59CD310B6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10335</Words>
  <Characters>5891</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 Lietuvos paštas</Company>
  <LinksUpToDate>false</LinksUpToDate>
  <CharactersWithSpaces>16194</CharactersWithSpaces>
  <SharedDoc>false</SharedDoc>
  <HLinks>
    <vt:vector size="6" baseType="variant">
      <vt:variant>
        <vt:i4>66</vt:i4>
      </vt:variant>
      <vt:variant>
        <vt:i4>0</vt:i4>
      </vt:variant>
      <vt:variant>
        <vt:i4>0</vt:i4>
      </vt:variant>
      <vt:variant>
        <vt:i4>5</vt:i4>
      </vt:variant>
      <vt:variant>
        <vt:lpwstr>http://www.lietuvospastas.lt/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J.Archipovas@post.lt</dc:creator>
  <cp:keywords/>
  <cp:lastModifiedBy>Oksana Krutikova</cp:lastModifiedBy>
  <cp:revision>3</cp:revision>
  <dcterms:created xsi:type="dcterms:W3CDTF">2021-09-07T09:51:00Z</dcterms:created>
  <dcterms:modified xsi:type="dcterms:W3CDTF">2021-09-07T09:52:00Z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0x0101003F606F28C53F3E4FA0E53D03996F6842</vt:lpwstr>
  </property>
</Properties>
</file>